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70B8EFB" w14:textId="77777777" w:rsidR="00587842" w:rsidRPr="00587842" w:rsidRDefault="00587842" w:rsidP="00587842">
      <w:r w:rsidRPr="00587842">
        <w:t>Introduzione ai Sensori nei Veicoli Autonomi</w:t>
      </w:r>
    </w:p>
    <w:p w14:paraId="4179163D" w14:textId="77777777" w:rsidR="00587842" w:rsidRPr="00587842" w:rsidRDefault="00587842" w:rsidP="00587842">
      <w:r w:rsidRPr="00587842">
        <w:t>I veicoli autonomi si basano su una varietà di </w:t>
      </w:r>
      <w:r w:rsidRPr="00587842">
        <w:rPr>
          <w:b/>
          <w:bCs/>
        </w:rPr>
        <w:t>sensori</w:t>
      </w:r>
      <w:r w:rsidRPr="00587842">
        <w:t> per percepire l'ambiente circostante e prendere decisioni informate. Questi sensori sono fondamentali per garantire la sicurezza e l'efficienza nella guida autonoma. Tra i sensori discussi nel documento troviamo:</w:t>
      </w:r>
    </w:p>
    <w:p w14:paraId="5D5700F1" w14:textId="77777777" w:rsidR="00587842" w:rsidRPr="00587842" w:rsidRDefault="00587842" w:rsidP="00587842">
      <w:pPr>
        <w:numPr>
          <w:ilvl w:val="0"/>
          <w:numId w:val="6"/>
        </w:numPr>
      </w:pPr>
      <w:r w:rsidRPr="00587842">
        <w:rPr>
          <w:b/>
          <w:bCs/>
        </w:rPr>
        <w:t>Telecamere</w:t>
      </w:r>
    </w:p>
    <w:p w14:paraId="6DCC1522" w14:textId="77777777" w:rsidR="00587842" w:rsidRPr="00587842" w:rsidRDefault="00587842" w:rsidP="00587842">
      <w:pPr>
        <w:numPr>
          <w:ilvl w:val="0"/>
          <w:numId w:val="6"/>
        </w:numPr>
      </w:pPr>
      <w:r w:rsidRPr="00587842">
        <w:rPr>
          <w:b/>
          <w:bCs/>
        </w:rPr>
        <w:t>Radar</w:t>
      </w:r>
    </w:p>
    <w:p w14:paraId="4953B5A8" w14:textId="77777777" w:rsidR="00587842" w:rsidRPr="00587842" w:rsidRDefault="00587842" w:rsidP="00587842">
      <w:pPr>
        <w:numPr>
          <w:ilvl w:val="0"/>
          <w:numId w:val="6"/>
        </w:numPr>
      </w:pPr>
      <w:proofErr w:type="spellStart"/>
      <w:r w:rsidRPr="00587842">
        <w:rPr>
          <w:b/>
          <w:bCs/>
        </w:rPr>
        <w:t>LiDAR</w:t>
      </w:r>
      <w:proofErr w:type="spellEnd"/>
    </w:p>
    <w:p w14:paraId="2B6CD50F" w14:textId="77777777" w:rsidR="00587842" w:rsidRPr="00587842" w:rsidRDefault="00587842" w:rsidP="00587842">
      <w:pPr>
        <w:numPr>
          <w:ilvl w:val="0"/>
          <w:numId w:val="6"/>
        </w:numPr>
      </w:pPr>
      <w:r w:rsidRPr="00587842">
        <w:rPr>
          <w:b/>
          <w:bCs/>
        </w:rPr>
        <w:t>Sonar</w:t>
      </w:r>
    </w:p>
    <w:p w14:paraId="093670ED" w14:textId="77777777" w:rsidR="00587842" w:rsidRPr="00587842" w:rsidRDefault="00587842" w:rsidP="00587842">
      <w:pPr>
        <w:numPr>
          <w:ilvl w:val="0"/>
          <w:numId w:val="6"/>
        </w:numPr>
      </w:pPr>
      <w:r w:rsidRPr="00587842">
        <w:rPr>
          <w:b/>
          <w:bCs/>
        </w:rPr>
        <w:t>Unità di Misura Inerziale (IMU) e ricevitori GNSS</w:t>
      </w:r>
    </w:p>
    <w:p w14:paraId="4963F1D6" w14:textId="77777777" w:rsidR="00587842" w:rsidRDefault="00587842" w:rsidP="00587842"/>
    <w:p w14:paraId="0896EAB9" w14:textId="0F4446FC" w:rsidR="00587842" w:rsidRPr="00587842" w:rsidRDefault="00587842" w:rsidP="00587842">
      <w:r w:rsidRPr="00587842">
        <w:t>Tipologie di Sensori</w:t>
      </w:r>
    </w:p>
    <w:p w14:paraId="20B77EA5" w14:textId="77777777" w:rsidR="00587842" w:rsidRPr="00587842" w:rsidRDefault="00587842" w:rsidP="00587842">
      <w:r w:rsidRPr="00587842">
        <w:t>Telecamere</w:t>
      </w:r>
    </w:p>
    <w:p w14:paraId="3A8245B3" w14:textId="77777777" w:rsidR="00587842" w:rsidRPr="00587842" w:rsidRDefault="00587842" w:rsidP="00587842">
      <w:r w:rsidRPr="00587842">
        <w:t>Le telecamere sono utilizzate per la visione artificiale e possono essere classificate in base a diversi parametri:</w:t>
      </w:r>
    </w:p>
    <w:p w14:paraId="32B8C1FD" w14:textId="77777777" w:rsidR="00587842" w:rsidRPr="00587842" w:rsidRDefault="00587842" w:rsidP="00587842">
      <w:pPr>
        <w:numPr>
          <w:ilvl w:val="0"/>
          <w:numId w:val="7"/>
        </w:numPr>
      </w:pPr>
      <w:r w:rsidRPr="00587842">
        <w:rPr>
          <w:b/>
          <w:bCs/>
        </w:rPr>
        <w:t>Lunghezza focale</w:t>
      </w:r>
      <w:r w:rsidRPr="00587842">
        <w:t>: fissa o zoom.</w:t>
      </w:r>
    </w:p>
    <w:p w14:paraId="74F6D834" w14:textId="77777777" w:rsidR="00587842" w:rsidRPr="00587842" w:rsidRDefault="00587842" w:rsidP="00587842">
      <w:pPr>
        <w:numPr>
          <w:ilvl w:val="0"/>
          <w:numId w:val="7"/>
        </w:numPr>
      </w:pPr>
      <w:r w:rsidRPr="00587842">
        <w:rPr>
          <w:b/>
          <w:bCs/>
        </w:rPr>
        <w:t>Apertura</w:t>
      </w:r>
      <w:r w:rsidRPr="00587842">
        <w:t>: espressa tramite il numero f, che determina la profondità di campo.</w:t>
      </w:r>
    </w:p>
    <w:p w14:paraId="3CD1462A" w14:textId="77777777" w:rsidR="00587842" w:rsidRPr="00587842" w:rsidRDefault="00587842" w:rsidP="00587842">
      <w:pPr>
        <w:numPr>
          <w:ilvl w:val="0"/>
          <w:numId w:val="7"/>
        </w:numPr>
      </w:pPr>
      <w:r w:rsidRPr="00587842">
        <w:rPr>
          <w:b/>
          <w:bCs/>
        </w:rPr>
        <w:t>Gamma dinamica</w:t>
      </w:r>
      <w:r w:rsidRPr="00587842">
        <w:t>: capacità di gestire diverse condizioni di luminosità, importante per ambienti variabili.</w:t>
      </w:r>
    </w:p>
    <w:p w14:paraId="437D9C17" w14:textId="77777777" w:rsidR="00587842" w:rsidRDefault="00587842" w:rsidP="00587842">
      <w:r w:rsidRPr="00587842">
        <w:t>Le telecamere possono operare in diverse lunghezze d'onda, inclusi il visibile, l'infrarosso e l'ultravioletto, ognuna con applicazioni specifiche.</w:t>
      </w:r>
    </w:p>
    <w:p w14:paraId="5BDB87E3" w14:textId="77777777" w:rsidR="00587842" w:rsidRPr="00587842" w:rsidRDefault="00587842" w:rsidP="00587842"/>
    <w:p w14:paraId="44D9E83C" w14:textId="77777777" w:rsidR="00587842" w:rsidRPr="00587842" w:rsidRDefault="00587842" w:rsidP="00587842">
      <w:r w:rsidRPr="00587842">
        <w:t>Radar</w:t>
      </w:r>
    </w:p>
    <w:p w14:paraId="76AF2361" w14:textId="77777777" w:rsidR="00587842" w:rsidRPr="00587842" w:rsidRDefault="00587842" w:rsidP="00587842">
      <w:r w:rsidRPr="00587842">
        <w:t>Il radar utilizza onde radio per determinare la distanza, l'angolo e la velocità degli oggetti. Funziona emettendo segnali che vengono poi riflessi dagli oggetti circostanti. I radar sono efficaci in condizioni meteorologiche avverse e possono rilevare oggetti a lungo raggio, rendendoli ideali per applicazioni come il cruise control adattivo.</w:t>
      </w:r>
    </w:p>
    <w:p w14:paraId="4F4752C0" w14:textId="77777777" w:rsidR="00587842" w:rsidRDefault="00587842" w:rsidP="00587842"/>
    <w:p w14:paraId="5D378EB1" w14:textId="7BA3A03E" w:rsidR="00587842" w:rsidRPr="00587842" w:rsidRDefault="00587842" w:rsidP="00587842">
      <w:proofErr w:type="spellStart"/>
      <w:r w:rsidRPr="00587842">
        <w:t>LiDAR</w:t>
      </w:r>
      <w:proofErr w:type="spellEnd"/>
    </w:p>
    <w:p w14:paraId="230D6964" w14:textId="77777777" w:rsidR="00587842" w:rsidRPr="00587842" w:rsidRDefault="00587842" w:rsidP="00587842">
      <w:r w:rsidRPr="00587842">
        <w:t xml:space="preserve">Il </w:t>
      </w:r>
      <w:proofErr w:type="spellStart"/>
      <w:r w:rsidRPr="00587842">
        <w:t>LiDAR</w:t>
      </w:r>
      <w:proofErr w:type="spellEnd"/>
      <w:r w:rsidRPr="00587842">
        <w:t xml:space="preserve"> (Light </w:t>
      </w:r>
      <w:proofErr w:type="spellStart"/>
      <w:r w:rsidRPr="00587842">
        <w:t>Detection</w:t>
      </w:r>
      <w:proofErr w:type="spellEnd"/>
      <w:r w:rsidRPr="00587842">
        <w:t xml:space="preserve"> and </w:t>
      </w:r>
      <w:proofErr w:type="spellStart"/>
      <w:r w:rsidRPr="00587842">
        <w:t>Ranging</w:t>
      </w:r>
      <w:proofErr w:type="spellEnd"/>
      <w:r w:rsidRPr="00587842">
        <w:t xml:space="preserve">) utilizza impulsi di luce per creare una mappa tridimensionale dell'ambiente. Produce una nuvola di punti che rappresenta la posizione degli oggetti circostanti. Le versioni più recenti del </w:t>
      </w:r>
      <w:proofErr w:type="spellStart"/>
      <w:r w:rsidRPr="00587842">
        <w:t>LiDAR</w:t>
      </w:r>
      <w:proofErr w:type="spellEnd"/>
      <w:r w:rsidRPr="00587842">
        <w:t xml:space="preserve"> non hanno parti mobili, rendendoli più adatti per l'uso automobilistico.</w:t>
      </w:r>
    </w:p>
    <w:p w14:paraId="39772DC6" w14:textId="77777777" w:rsidR="00587842" w:rsidRDefault="00587842" w:rsidP="00587842"/>
    <w:p w14:paraId="5490DBEC" w14:textId="7E3E5CB3" w:rsidR="00587842" w:rsidRPr="00587842" w:rsidRDefault="00587842" w:rsidP="00587842">
      <w:r w:rsidRPr="00587842">
        <w:t>Sonar</w:t>
      </w:r>
    </w:p>
    <w:p w14:paraId="5451C839" w14:textId="77777777" w:rsidR="00587842" w:rsidRPr="00587842" w:rsidRDefault="00587842" w:rsidP="00587842">
      <w:r w:rsidRPr="00587842">
        <w:t>Il sonar utilizza onde sonore per rilevare oggetti, ed è spesso impiegato a basse velocità. È economico e facile da integrare, ma ha limitazioni nella classificazione degli oggetti e nella risoluzione angolare.</w:t>
      </w:r>
    </w:p>
    <w:p w14:paraId="74182069" w14:textId="77777777" w:rsidR="00587842" w:rsidRDefault="00587842" w:rsidP="00587842"/>
    <w:p w14:paraId="607B043A" w14:textId="2C23CA64" w:rsidR="00587842" w:rsidRPr="00587842" w:rsidRDefault="00587842" w:rsidP="00587842">
      <w:r w:rsidRPr="00587842">
        <w:t>IMU e GNSS</w:t>
      </w:r>
    </w:p>
    <w:p w14:paraId="6A5E16E2" w14:textId="77777777" w:rsidR="00587842" w:rsidRPr="00587842" w:rsidRDefault="00587842" w:rsidP="00587842">
      <w:r w:rsidRPr="00587842">
        <w:t>Le unità di misura inerziale (IMU) combinano accelerometri, giroscopi e magnetometri per monitorare il movimento del veicolo. I ricevitori GNSS forniscono informazioni sulla posizione geografica, essenziali per la navigazione. La fusione dei dati provenienti da IMU e GNSS migliora la precisione della localizzazione.</w:t>
      </w:r>
    </w:p>
    <w:p w14:paraId="10344660" w14:textId="77777777" w:rsidR="00587842" w:rsidRDefault="00587842" w:rsidP="00587842"/>
    <w:p w14:paraId="36A0D8EF" w14:textId="5CA0644A" w:rsidR="00587842" w:rsidRPr="00587842" w:rsidRDefault="00587842" w:rsidP="00587842">
      <w:r w:rsidRPr="00587842">
        <w:t>Interfacce e Comunicazione</w:t>
      </w:r>
    </w:p>
    <w:p w14:paraId="53AF13D4" w14:textId="77777777" w:rsidR="00587842" w:rsidRPr="00587842" w:rsidRDefault="00587842" w:rsidP="00587842">
      <w:r w:rsidRPr="00587842">
        <w:t>I sensori sono collegati tramite reti interne del veicolo, utilizzando protocolli come CAN (Controller Area Network) e Automotive Ethernet. Questi protocolli consentono la trasmissione dei dati in tempo reale tra i vari componenti del veicolo.</w:t>
      </w:r>
    </w:p>
    <w:p w14:paraId="7E987F08" w14:textId="77777777" w:rsidR="00587842" w:rsidRPr="00587842" w:rsidRDefault="00587842" w:rsidP="00587842">
      <w:r w:rsidRPr="00587842">
        <w:lastRenderedPageBreak/>
        <w:t xml:space="preserve">V2X </w:t>
      </w:r>
      <w:proofErr w:type="spellStart"/>
      <w:r w:rsidRPr="00587842">
        <w:t>Communication</w:t>
      </w:r>
      <w:proofErr w:type="spellEnd"/>
    </w:p>
    <w:p w14:paraId="3B4E6000" w14:textId="77777777" w:rsidR="00587842" w:rsidRPr="00587842" w:rsidRDefault="00587842" w:rsidP="00587842">
      <w:r w:rsidRPr="00587842">
        <w:t>La comunicazione V2X (</w:t>
      </w:r>
      <w:proofErr w:type="spellStart"/>
      <w:r w:rsidRPr="00587842">
        <w:t>Vehicle</w:t>
      </w:r>
      <w:proofErr w:type="spellEnd"/>
      <w:r w:rsidRPr="00587842">
        <w:t>-to-</w:t>
      </w:r>
      <w:proofErr w:type="spellStart"/>
      <w:r w:rsidRPr="00587842">
        <w:t>Everything</w:t>
      </w:r>
      <w:proofErr w:type="spellEnd"/>
      <w:r w:rsidRPr="00587842">
        <w:t>) è un insieme di tecnologie che permettono ai veicoli di comunicare tra loro e con le infrastrutture circostanti. Include comunicazioni V2V (veicolo a veicolo), V2I (veicolo a infrastruttura) e V2N (veicolo a rete). Questa tecnologia è fondamentale per migliorare la sicurezza stradale e ottimizzare il traffico.</w:t>
      </w:r>
    </w:p>
    <w:p w14:paraId="02AF30BA" w14:textId="77777777" w:rsidR="00587842" w:rsidRDefault="00587842" w:rsidP="00587842"/>
    <w:p w14:paraId="48C5B0D9" w14:textId="407C7C09" w:rsidR="00587842" w:rsidRPr="00587842" w:rsidRDefault="00587842" w:rsidP="00587842">
      <w:r w:rsidRPr="00587842">
        <w:t>Conclusione</w:t>
      </w:r>
    </w:p>
    <w:p w14:paraId="56D573E0" w14:textId="6DD10733" w:rsidR="00E675C9" w:rsidRDefault="00587842" w:rsidP="00587842">
      <w:r w:rsidRPr="00587842">
        <w:t xml:space="preserve">In sintesi, i sensori sono elementi chiave nei veicoli autonomi, fornendo dati cruciali per la percezione dell'ambiente. La loro integrazione efficace attraverso tecnologie avanzate come radar, </w:t>
      </w:r>
      <w:proofErr w:type="spellStart"/>
      <w:r w:rsidRPr="00587842">
        <w:t>LiDAR</w:t>
      </w:r>
      <w:proofErr w:type="spellEnd"/>
      <w:r w:rsidRPr="00587842">
        <w:t xml:space="preserve"> e comunicazioni V2X è essenziale per lo sviluppo di sistemi di guida autonoma sicuri ed efficienti. Investire nella ricerca e nello sviluppo di questi sensori contribuirà a realizzare il potenziale della mobilità autonoma. </w:t>
      </w:r>
    </w:p>
    <w:sectPr w:rsidR="00E675C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4D21C18"/>
    <w:multiLevelType w:val="multilevel"/>
    <w:tmpl w:val="156AC0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B10F8A"/>
    <w:multiLevelType w:val="multilevel"/>
    <w:tmpl w:val="A4FE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02C5F99"/>
    <w:multiLevelType w:val="multilevel"/>
    <w:tmpl w:val="8DA0CA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ACA40F2"/>
    <w:multiLevelType w:val="multilevel"/>
    <w:tmpl w:val="9014C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371117"/>
    <w:multiLevelType w:val="multilevel"/>
    <w:tmpl w:val="A776E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9246EC"/>
    <w:multiLevelType w:val="multilevel"/>
    <w:tmpl w:val="013005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77406D"/>
    <w:multiLevelType w:val="multilevel"/>
    <w:tmpl w:val="BC967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998425">
    <w:abstractNumId w:val="5"/>
  </w:num>
  <w:num w:numId="2" w16cid:durableId="1305961927">
    <w:abstractNumId w:val="2"/>
  </w:num>
  <w:num w:numId="3" w16cid:durableId="1035735814">
    <w:abstractNumId w:val="6"/>
  </w:num>
  <w:num w:numId="4" w16cid:durableId="971983117">
    <w:abstractNumId w:val="0"/>
  </w:num>
  <w:num w:numId="5" w16cid:durableId="808399378">
    <w:abstractNumId w:val="3"/>
  </w:num>
  <w:num w:numId="6" w16cid:durableId="935796538">
    <w:abstractNumId w:val="4"/>
  </w:num>
  <w:num w:numId="7" w16cid:durableId="7466830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2F4"/>
    <w:rsid w:val="000D1FD2"/>
    <w:rsid w:val="00117359"/>
    <w:rsid w:val="00123BA1"/>
    <w:rsid w:val="00163069"/>
    <w:rsid w:val="00203890"/>
    <w:rsid w:val="00473E87"/>
    <w:rsid w:val="00587842"/>
    <w:rsid w:val="006032F4"/>
    <w:rsid w:val="006621E7"/>
    <w:rsid w:val="007A0C90"/>
    <w:rsid w:val="00A83520"/>
    <w:rsid w:val="00CD4482"/>
    <w:rsid w:val="00E675C9"/>
    <w:rsid w:val="00FB0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AFEA65"/>
  <w15:chartTrackingRefBased/>
  <w15:docId w15:val="{B961F904-FDFD-104F-A827-FFB3D2530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6032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6032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6032F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6032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6032F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6032F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6032F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6032F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6032F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6032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6032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6032F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6032F4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6032F4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6032F4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6032F4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6032F4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6032F4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6032F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6032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6032F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6032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6032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6032F4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6032F4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6032F4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6032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6032F4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6032F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4230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6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09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8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9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30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Valerio GAROZZO</dc:creator>
  <cp:keywords/>
  <dc:description/>
  <cp:lastModifiedBy>Valerio GAROZZO</cp:lastModifiedBy>
  <cp:revision>5</cp:revision>
  <dcterms:created xsi:type="dcterms:W3CDTF">2024-12-03T09:04:00Z</dcterms:created>
  <dcterms:modified xsi:type="dcterms:W3CDTF">2024-12-04T09:34:00Z</dcterms:modified>
</cp:coreProperties>
</file>