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1D916" w14:textId="40002E4D" w:rsidR="009D6C9C" w:rsidRPr="009D6C9C" w:rsidRDefault="009D6C9C" w:rsidP="009D6C9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D6C9C">
        <w:rPr>
          <w:rFonts w:ascii="Times New Roman" w:hAnsi="Times New Roman" w:cs="Times New Roman"/>
          <w:b/>
          <w:bCs/>
          <w:sz w:val="28"/>
          <w:szCs w:val="28"/>
        </w:rPr>
        <w:t xml:space="preserve">Come </w:t>
      </w:r>
      <w:r w:rsidRPr="009D6C9C">
        <w:rPr>
          <w:rFonts w:ascii="Times New Roman" w:hAnsi="Times New Roman" w:cs="Times New Roman"/>
          <w:b/>
          <w:bCs/>
          <w:sz w:val="28"/>
          <w:szCs w:val="28"/>
          <w:u w:val="single"/>
        </w:rPr>
        <w:t>riassumere</w:t>
      </w:r>
      <w:r w:rsidRPr="009D6C9C">
        <w:rPr>
          <w:rFonts w:ascii="Times New Roman" w:hAnsi="Times New Roman" w:cs="Times New Roman"/>
          <w:b/>
          <w:bCs/>
          <w:sz w:val="28"/>
          <w:szCs w:val="28"/>
        </w:rPr>
        <w:t xml:space="preserve"> una fonte all’interno del testo della tesi e mettere il </w:t>
      </w:r>
      <w:r w:rsidRPr="009D6C9C">
        <w:rPr>
          <w:rFonts w:ascii="Times New Roman" w:hAnsi="Times New Roman" w:cs="Times New Roman"/>
          <w:b/>
          <w:bCs/>
          <w:color w:val="00B0F0"/>
          <w:sz w:val="28"/>
          <w:szCs w:val="28"/>
        </w:rPr>
        <w:t>riferimento sitografico</w:t>
      </w:r>
      <w:r w:rsidRPr="009D6C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7CFB141" w14:textId="77777777" w:rsidR="009D6C9C" w:rsidRDefault="009D6C9C" w:rsidP="009D6C9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B99990" w14:textId="67D3402C" w:rsidR="009D6C9C" w:rsidRDefault="009D6C9C" w:rsidP="009D6C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6C9C">
        <w:rPr>
          <w:rFonts w:ascii="Times New Roman" w:hAnsi="Times New Roman" w:cs="Times New Roman"/>
          <w:sz w:val="24"/>
          <w:szCs w:val="24"/>
        </w:rPr>
        <w:t>Come si nota, R1 realizza una resa altamente generalizzata (</w:t>
      </w:r>
      <w:r w:rsidRPr="009D6C9C">
        <w:rPr>
          <w:rFonts w:ascii="Times New Roman" w:hAnsi="Times New Roman" w:cs="Times New Roman"/>
          <w:i/>
          <w:iCs/>
          <w:sz w:val="24"/>
          <w:szCs w:val="24"/>
        </w:rPr>
        <w:t>cancelleria tedesca</w:t>
      </w:r>
      <w:r w:rsidRPr="009D6C9C">
        <w:rPr>
          <w:rFonts w:ascii="Times New Roman" w:hAnsi="Times New Roman" w:cs="Times New Roman"/>
          <w:sz w:val="24"/>
          <w:szCs w:val="24"/>
        </w:rPr>
        <w:t xml:space="preserve">, in tedesco </w:t>
      </w:r>
      <w:r w:rsidRPr="009D6C9C">
        <w:rPr>
          <w:rFonts w:ascii="Times New Roman" w:hAnsi="Times New Roman" w:cs="Times New Roman"/>
          <w:i/>
          <w:iCs/>
          <w:sz w:val="24"/>
          <w:szCs w:val="24"/>
        </w:rPr>
        <w:t>deutsches Bundeskanzleramt</w:t>
      </w:r>
      <w:r w:rsidRPr="009D6C9C">
        <w:rPr>
          <w:rFonts w:ascii="Times New Roman" w:hAnsi="Times New Roman" w:cs="Times New Roman"/>
          <w:sz w:val="24"/>
          <w:szCs w:val="24"/>
        </w:rPr>
        <w:t>), mentre R4 punta alla compressione tramite deittico (</w:t>
      </w:r>
      <w:r w:rsidRPr="009D6C9C">
        <w:rPr>
          <w:rFonts w:ascii="Times New Roman" w:hAnsi="Times New Roman" w:cs="Times New Roman"/>
          <w:i/>
          <w:iCs/>
          <w:sz w:val="24"/>
          <w:szCs w:val="24"/>
        </w:rPr>
        <w:t>mio compito</w:t>
      </w:r>
      <w:r w:rsidRPr="009D6C9C">
        <w:rPr>
          <w:rFonts w:ascii="Times New Roman" w:hAnsi="Times New Roman" w:cs="Times New Roman"/>
          <w:sz w:val="24"/>
          <w:szCs w:val="24"/>
        </w:rPr>
        <w:t>). Solo R2 e R3 forniscono la traduzione più vicina al TP, utilizzando tuttavia il genere maschile (</w:t>
      </w:r>
      <w:r w:rsidRPr="009D6C9C">
        <w:rPr>
          <w:rFonts w:ascii="Times New Roman" w:hAnsi="Times New Roman" w:cs="Times New Roman"/>
          <w:i/>
          <w:iCs/>
          <w:sz w:val="24"/>
          <w:szCs w:val="24"/>
        </w:rPr>
        <w:t>Cancelliere tedesco</w:t>
      </w:r>
      <w:r w:rsidRPr="009D6C9C">
        <w:rPr>
          <w:rFonts w:ascii="Times New Roman" w:hAnsi="Times New Roman" w:cs="Times New Roman"/>
          <w:sz w:val="24"/>
          <w:szCs w:val="24"/>
        </w:rPr>
        <w:t xml:space="preserve">). Ciò appare curioso dal momento che, considerata la loro giovane età, è ragionevole ipotizzare che i membri del gruppo R abbiano sempre identificato questa carica con un volto femminile, quello di Angela Merkel che è anche considerata da molti tedeschi </w:t>
      </w:r>
      <w:r w:rsidRPr="009D6C9C">
        <w:rPr>
          <w:rFonts w:ascii="Times New Roman" w:hAnsi="Times New Roman" w:cs="Times New Roman"/>
          <w:i/>
          <w:iCs/>
          <w:sz w:val="24"/>
          <w:szCs w:val="24"/>
        </w:rPr>
        <w:t xml:space="preserve">Mutti </w:t>
      </w:r>
      <w:r w:rsidRPr="009D6C9C">
        <w:rPr>
          <w:rFonts w:ascii="Times New Roman" w:hAnsi="Times New Roman" w:cs="Times New Roman"/>
          <w:sz w:val="24"/>
          <w:szCs w:val="24"/>
        </w:rPr>
        <w:t xml:space="preserve">(“mamma”) della nazione </w:t>
      </w:r>
      <w:r w:rsidRPr="009D6C9C">
        <w:rPr>
          <w:rFonts w:ascii="Times New Roman" w:hAnsi="Times New Roman" w:cs="Times New Roman"/>
          <w:color w:val="00B0F0"/>
          <w:sz w:val="24"/>
          <w:szCs w:val="24"/>
        </w:rPr>
        <w:t>(Affari Internazionali, 2020)</w:t>
      </w:r>
      <w:r w:rsidRPr="009D6C9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0ED1BD" w14:textId="77777777" w:rsidR="009D6C9C" w:rsidRDefault="009D6C9C" w:rsidP="009D6C9C">
      <w:pPr>
        <w:spacing w:after="0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4C034F2B" w14:textId="4CEC4189" w:rsidR="009D6C9C" w:rsidRPr="009D6C9C" w:rsidRDefault="009D6C9C" w:rsidP="009D6C9C">
      <w:pPr>
        <w:spacing w:after="0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 sitografia finale</w:t>
      </w:r>
    </w:p>
    <w:p w14:paraId="2DABD789" w14:textId="4A5904B5" w:rsidR="00261040" w:rsidRDefault="009D6C9C" w:rsidP="009D6C9C">
      <w:pPr>
        <w:spacing w:after="0"/>
        <w:ind w:left="567" w:hanging="567"/>
        <w:rPr>
          <w:rFonts w:ascii="Times New Roman" w:hAnsi="Times New Roman" w:cs="Times New Roman"/>
          <w:color w:val="00B0F0"/>
          <w:sz w:val="24"/>
          <w:szCs w:val="24"/>
        </w:rPr>
      </w:pPr>
      <w:r w:rsidRPr="009D6C9C">
        <w:rPr>
          <w:rFonts w:ascii="Times New Roman" w:hAnsi="Times New Roman" w:cs="Times New Roman"/>
          <w:color w:val="00B0F0"/>
          <w:sz w:val="24"/>
          <w:szCs w:val="24"/>
        </w:rPr>
        <w:t>Affari Internazionali</w:t>
      </w:r>
      <w:r w:rsidRPr="009D6C9C">
        <w:rPr>
          <w:rFonts w:ascii="Times New Roman" w:hAnsi="Times New Roman" w:cs="Times New Roman"/>
          <w:sz w:val="24"/>
          <w:szCs w:val="24"/>
        </w:rPr>
        <w:t xml:space="preserve">, </w:t>
      </w:r>
      <w:r w:rsidRPr="009D6C9C">
        <w:rPr>
          <w:rFonts w:ascii="Times New Roman" w:hAnsi="Times New Roman" w:cs="Times New Roman"/>
          <w:i/>
          <w:iCs/>
          <w:sz w:val="24"/>
          <w:szCs w:val="24"/>
        </w:rPr>
        <w:t>Michael Braun – Mutti. Angela Merkel spiegata agli italiani</w:t>
      </w:r>
      <w:r w:rsidRPr="009D6C9C">
        <w:rPr>
          <w:rFonts w:ascii="Times New Roman" w:hAnsi="Times New Roman" w:cs="Times New Roman"/>
          <w:sz w:val="24"/>
          <w:szCs w:val="24"/>
        </w:rPr>
        <w:t>, “https://www.affarinternazionali.it/segnalazioni/michael-braun-mutti-angela-merkel-spiegata-agli-italiani/”,</w:t>
      </w:r>
      <w:r w:rsidR="00EC24B8">
        <w:rPr>
          <w:rFonts w:ascii="Times New Roman" w:hAnsi="Times New Roman" w:cs="Times New Roman"/>
          <w:sz w:val="24"/>
          <w:szCs w:val="24"/>
        </w:rPr>
        <w:t xml:space="preserve"> s.d.,</w:t>
      </w:r>
      <w:r w:rsidRPr="009D6C9C">
        <w:rPr>
          <w:rFonts w:ascii="Times New Roman" w:hAnsi="Times New Roman" w:cs="Times New Roman"/>
          <w:sz w:val="24"/>
          <w:szCs w:val="24"/>
        </w:rPr>
        <w:t xml:space="preserve"> ultima consultazione: 7 ottobre </w:t>
      </w:r>
      <w:r w:rsidRPr="009D6C9C">
        <w:rPr>
          <w:rFonts w:ascii="Times New Roman" w:hAnsi="Times New Roman" w:cs="Times New Roman"/>
          <w:color w:val="00B0F0"/>
          <w:sz w:val="24"/>
          <w:szCs w:val="24"/>
        </w:rPr>
        <w:t xml:space="preserve">2020 </w:t>
      </w:r>
    </w:p>
    <w:p w14:paraId="72715991" w14:textId="01860518" w:rsidR="009D6C9C" w:rsidRDefault="009D6C9C" w:rsidP="009D6C9C">
      <w:pPr>
        <w:spacing w:after="0"/>
        <w:ind w:left="567" w:hanging="567"/>
        <w:rPr>
          <w:rFonts w:ascii="Times New Roman" w:hAnsi="Times New Roman" w:cs="Times New Roman"/>
          <w:color w:val="00B0F0"/>
          <w:sz w:val="24"/>
          <w:szCs w:val="24"/>
        </w:rPr>
      </w:pPr>
    </w:p>
    <w:p w14:paraId="368A9D43" w14:textId="07846225" w:rsidR="00BB2E3F" w:rsidRPr="009D6C9C" w:rsidRDefault="00BB2E3F" w:rsidP="00BB2E3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D6C9C">
        <w:rPr>
          <w:rFonts w:ascii="Times New Roman" w:hAnsi="Times New Roman" w:cs="Times New Roman"/>
          <w:b/>
          <w:bCs/>
          <w:sz w:val="28"/>
          <w:szCs w:val="28"/>
        </w:rPr>
        <w:t xml:space="preserve">Come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citare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letteralmente</w:t>
      </w:r>
      <w:r w:rsidRPr="009D6C9C">
        <w:rPr>
          <w:rFonts w:ascii="Times New Roman" w:hAnsi="Times New Roman" w:cs="Times New Roman"/>
          <w:b/>
          <w:bCs/>
          <w:sz w:val="28"/>
          <w:szCs w:val="28"/>
        </w:rPr>
        <w:t xml:space="preserve"> una fonte all’interno del testo della tesi </w:t>
      </w:r>
      <w:r w:rsidRPr="00BB2E3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per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meno</w:t>
      </w:r>
      <w:r w:rsidRPr="00BB2E3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di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tr</w:t>
      </w:r>
      <w:r w:rsidRPr="00BB2E3F">
        <w:rPr>
          <w:rFonts w:ascii="Times New Roman" w:hAnsi="Times New Roman" w:cs="Times New Roman"/>
          <w:b/>
          <w:bCs/>
          <w:sz w:val="28"/>
          <w:szCs w:val="28"/>
          <w:u w:val="single"/>
        </w:rPr>
        <w:t>e righe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D6C9C">
        <w:rPr>
          <w:rFonts w:ascii="Times New Roman" w:hAnsi="Times New Roman" w:cs="Times New Roman"/>
          <w:b/>
          <w:bCs/>
          <w:sz w:val="28"/>
          <w:szCs w:val="28"/>
        </w:rPr>
        <w:t xml:space="preserve">e mettere il </w:t>
      </w:r>
      <w:r w:rsidRPr="009D6C9C">
        <w:rPr>
          <w:rFonts w:ascii="Times New Roman" w:hAnsi="Times New Roman" w:cs="Times New Roman"/>
          <w:b/>
          <w:bCs/>
          <w:color w:val="00B0F0"/>
          <w:sz w:val="28"/>
          <w:szCs w:val="28"/>
        </w:rPr>
        <w:t>riferimento sitografico</w:t>
      </w:r>
      <w:r w:rsidRPr="009D6C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D7E0F1D" w14:textId="4F607E38" w:rsidR="009D6C9C" w:rsidRDefault="009D6C9C" w:rsidP="009D6C9C">
      <w:pPr>
        <w:spacing w:after="0"/>
        <w:ind w:left="567" w:hanging="567"/>
        <w:rPr>
          <w:rFonts w:ascii="Times New Roman" w:hAnsi="Times New Roman" w:cs="Times New Roman"/>
          <w:color w:val="92D050"/>
          <w:sz w:val="24"/>
          <w:szCs w:val="24"/>
        </w:rPr>
      </w:pPr>
    </w:p>
    <w:p w14:paraId="43D6FE7D" w14:textId="6D4AE7D7" w:rsidR="00BB2E3F" w:rsidRDefault="00BB2E3F" w:rsidP="00BB2E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2E3F">
        <w:rPr>
          <w:rFonts w:ascii="Times New Roman" w:hAnsi="Times New Roman" w:cs="Times New Roman"/>
          <w:sz w:val="24"/>
          <w:szCs w:val="24"/>
        </w:rPr>
        <w:t xml:space="preserve">Sorrentino (2012) scrive, infatti, che un buon interprete non è necessariamente un buon pivot. Oltre ai requisiti che qualunque interprete deve possedere, </w:t>
      </w:r>
      <w:r w:rsidRPr="00EC24B8">
        <w:rPr>
          <w:rFonts w:ascii="Times New Roman" w:hAnsi="Times New Roman" w:cs="Times New Roman"/>
          <w:b/>
          <w:bCs/>
          <w:color w:val="00B0F0"/>
          <w:sz w:val="24"/>
          <w:szCs w:val="24"/>
        </w:rPr>
        <w:t>“</w:t>
      </w:r>
      <w:r w:rsidRPr="00BB2E3F">
        <w:rPr>
          <w:rFonts w:ascii="Times New Roman" w:hAnsi="Times New Roman" w:cs="Times New Roman"/>
          <w:sz w:val="24"/>
          <w:szCs w:val="24"/>
        </w:rPr>
        <w:t>the pivot (…) has a very special responsibility</w:t>
      </w:r>
      <w:r w:rsidRPr="00EC24B8">
        <w:rPr>
          <w:rFonts w:ascii="Times New Roman" w:hAnsi="Times New Roman" w:cs="Times New Roman"/>
          <w:b/>
          <w:bCs/>
          <w:color w:val="00B0F0"/>
          <w:sz w:val="24"/>
          <w:szCs w:val="24"/>
        </w:rPr>
        <w:t>”</w:t>
      </w:r>
      <w:r w:rsidRPr="00BB2E3F">
        <w:rPr>
          <w:rFonts w:ascii="Times New Roman" w:hAnsi="Times New Roman" w:cs="Times New Roman"/>
          <w:sz w:val="24"/>
          <w:szCs w:val="24"/>
        </w:rPr>
        <w:t xml:space="preserve"> </w:t>
      </w:r>
      <w:r w:rsidRPr="00BB2E3F">
        <w:rPr>
          <w:rFonts w:ascii="Times New Roman" w:hAnsi="Times New Roman" w:cs="Times New Roman"/>
          <w:color w:val="00B0F0"/>
          <w:sz w:val="24"/>
          <w:szCs w:val="24"/>
        </w:rPr>
        <w:t xml:space="preserve">(AIIC, 1999) </w:t>
      </w:r>
      <w:r w:rsidRPr="00BB2E3F">
        <w:rPr>
          <w:rFonts w:ascii="Times New Roman" w:hAnsi="Times New Roman" w:cs="Times New Roman"/>
          <w:sz w:val="24"/>
          <w:szCs w:val="24"/>
        </w:rPr>
        <w:t>che, se rispettata, determina la sua attitudine per questo ruolo.</w:t>
      </w:r>
    </w:p>
    <w:p w14:paraId="6DAD081B" w14:textId="221CEE52" w:rsidR="00BB2E3F" w:rsidRDefault="00BB2E3F" w:rsidP="00BB2E3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EFA0A3" w14:textId="26F283C1" w:rsidR="00BB2E3F" w:rsidRPr="00EC24B8" w:rsidRDefault="00BB2E3F" w:rsidP="00BB2E3F">
      <w:pPr>
        <w:spacing w:after="0"/>
        <w:ind w:left="567" w:hanging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C24B8">
        <w:rPr>
          <w:rFonts w:ascii="Times New Roman" w:hAnsi="Times New Roman" w:cs="Times New Roman"/>
          <w:b/>
          <w:bCs/>
          <w:sz w:val="24"/>
          <w:szCs w:val="24"/>
          <w:lang w:val="en-US"/>
        </w:rPr>
        <w:t>In sitografia finale</w:t>
      </w:r>
    </w:p>
    <w:p w14:paraId="2F10A252" w14:textId="77777777" w:rsidR="00EC24B8" w:rsidRDefault="00EC24B8" w:rsidP="00BB2E3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AEF72AA" w14:textId="1B7693CB" w:rsidR="00BB2E3F" w:rsidRPr="00EC24B8" w:rsidRDefault="00EC24B8" w:rsidP="00EC24B8">
      <w:pPr>
        <w:spacing w:after="0"/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EC24B8">
        <w:rPr>
          <w:rFonts w:ascii="Times New Roman" w:hAnsi="Times New Roman" w:cs="Times New Roman"/>
          <w:color w:val="00B0F0"/>
          <w:sz w:val="24"/>
          <w:szCs w:val="24"/>
          <w:lang w:val="en-US"/>
        </w:rPr>
        <w:t>AIIC</w:t>
      </w:r>
      <w:r w:rsidRPr="00EC24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C24B8">
        <w:rPr>
          <w:rFonts w:ascii="Times New Roman" w:hAnsi="Times New Roman" w:cs="Times New Roman"/>
          <w:i/>
          <w:iCs/>
          <w:sz w:val="24"/>
          <w:szCs w:val="24"/>
          <w:lang w:val="en-US"/>
        </w:rPr>
        <w:t>AIIC - Global Union Federations Agreement (1999-2004)</w:t>
      </w:r>
      <w:r w:rsidRPr="00EC24B8">
        <w:rPr>
          <w:rFonts w:ascii="Times New Roman" w:hAnsi="Times New Roman" w:cs="Times New Roman"/>
          <w:sz w:val="24"/>
          <w:szCs w:val="24"/>
          <w:lang w:val="en-US"/>
        </w:rPr>
        <w:t xml:space="preserve">, “http://aiic.net/p/669”, 26 febbraio </w:t>
      </w:r>
      <w:r w:rsidRPr="00EC24B8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2002 </w:t>
      </w:r>
    </w:p>
    <w:p w14:paraId="4CDC3283" w14:textId="77777777" w:rsidR="00BB2E3F" w:rsidRPr="00EC24B8" w:rsidRDefault="00BB2E3F" w:rsidP="009D6C9C">
      <w:pPr>
        <w:spacing w:after="0"/>
        <w:ind w:left="567" w:hanging="567"/>
        <w:rPr>
          <w:rFonts w:ascii="Times New Roman" w:hAnsi="Times New Roman" w:cs="Times New Roman"/>
          <w:color w:val="92D050"/>
          <w:sz w:val="24"/>
          <w:szCs w:val="24"/>
          <w:lang w:val="en-US"/>
        </w:rPr>
      </w:pPr>
    </w:p>
    <w:p w14:paraId="60F6E882" w14:textId="77493AC5" w:rsidR="009D6C9C" w:rsidRPr="009D6C9C" w:rsidRDefault="009D6C9C" w:rsidP="009D6C9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D6C9C">
        <w:rPr>
          <w:rFonts w:ascii="Times New Roman" w:hAnsi="Times New Roman" w:cs="Times New Roman"/>
          <w:b/>
          <w:bCs/>
          <w:sz w:val="28"/>
          <w:szCs w:val="28"/>
        </w:rPr>
        <w:t xml:space="preserve">Come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citare </w:t>
      </w:r>
      <w:r w:rsidR="00BB2E3F">
        <w:rPr>
          <w:rFonts w:ascii="Times New Roman" w:hAnsi="Times New Roman" w:cs="Times New Roman"/>
          <w:b/>
          <w:bCs/>
          <w:sz w:val="28"/>
          <w:szCs w:val="28"/>
          <w:u w:val="single"/>
        </w:rPr>
        <w:t>letteralmente</w:t>
      </w:r>
      <w:r w:rsidRPr="009D6C9C">
        <w:rPr>
          <w:rFonts w:ascii="Times New Roman" w:hAnsi="Times New Roman" w:cs="Times New Roman"/>
          <w:b/>
          <w:bCs/>
          <w:sz w:val="28"/>
          <w:szCs w:val="28"/>
        </w:rPr>
        <w:t xml:space="preserve"> una fonte all’interno del testo della tesi </w:t>
      </w:r>
      <w:r w:rsidR="00BB2E3F" w:rsidRPr="00BB2E3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per più di </w:t>
      </w:r>
      <w:r w:rsidR="00BB2E3F">
        <w:rPr>
          <w:rFonts w:ascii="Times New Roman" w:hAnsi="Times New Roman" w:cs="Times New Roman"/>
          <w:b/>
          <w:bCs/>
          <w:sz w:val="28"/>
          <w:szCs w:val="28"/>
          <w:u w:val="single"/>
        </w:rPr>
        <w:t>tr</w:t>
      </w:r>
      <w:r w:rsidR="00BB2E3F" w:rsidRPr="00BB2E3F">
        <w:rPr>
          <w:rFonts w:ascii="Times New Roman" w:hAnsi="Times New Roman" w:cs="Times New Roman"/>
          <w:b/>
          <w:bCs/>
          <w:sz w:val="28"/>
          <w:szCs w:val="28"/>
          <w:u w:val="single"/>
        </w:rPr>
        <w:t>e righe</w:t>
      </w:r>
      <w:r w:rsidR="00BB2E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D6C9C">
        <w:rPr>
          <w:rFonts w:ascii="Times New Roman" w:hAnsi="Times New Roman" w:cs="Times New Roman"/>
          <w:b/>
          <w:bCs/>
          <w:sz w:val="28"/>
          <w:szCs w:val="28"/>
        </w:rPr>
        <w:t xml:space="preserve">e mettere il </w:t>
      </w:r>
      <w:r w:rsidRPr="009D6C9C">
        <w:rPr>
          <w:rFonts w:ascii="Times New Roman" w:hAnsi="Times New Roman" w:cs="Times New Roman"/>
          <w:b/>
          <w:bCs/>
          <w:color w:val="00B0F0"/>
          <w:sz w:val="28"/>
          <w:szCs w:val="28"/>
        </w:rPr>
        <w:t>riferimento sitografico</w:t>
      </w:r>
      <w:r w:rsidRPr="009D6C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350335" w14:textId="60E41780" w:rsidR="009D6C9C" w:rsidRDefault="009D6C9C" w:rsidP="009D6C9C">
      <w:pPr>
        <w:spacing w:after="0"/>
        <w:ind w:left="567" w:hanging="567"/>
        <w:rPr>
          <w:rFonts w:ascii="Times New Roman" w:hAnsi="Times New Roman" w:cs="Times New Roman"/>
          <w:color w:val="92D050"/>
          <w:sz w:val="28"/>
          <w:szCs w:val="28"/>
        </w:rPr>
      </w:pPr>
    </w:p>
    <w:p w14:paraId="0D3A6988" w14:textId="77777777" w:rsidR="009D6C9C" w:rsidRPr="009D6C9C" w:rsidRDefault="009D6C9C" w:rsidP="009D6C9C">
      <w:pPr>
        <w:pStyle w:val="Default"/>
        <w:jc w:val="both"/>
      </w:pPr>
      <w:r w:rsidRPr="009D6C9C">
        <w:t xml:space="preserve">A seconda della tipologia di conferenza, viene stabilito il regime linguistico più opportuno, ovvero la quantità di lingue da e verso le quali interpretare nella specifica occasione. Il regime più frequentemente adottato è quello asimmetrico, in cui “i partecipanti possono esprimersi in diverse lingue, ma l’interpretazione è fornita solo in un numero limitato di lingue” (Commissione Europea, 2020b). Tale regime è conforme al principio del </w:t>
      </w:r>
      <w:r w:rsidRPr="009D6C9C">
        <w:rPr>
          <w:i/>
          <w:iCs/>
        </w:rPr>
        <w:t>multilinguismo integrale controllato</w:t>
      </w:r>
      <w:r w:rsidRPr="009D6C9C">
        <w:t xml:space="preserve">: </w:t>
      </w:r>
    </w:p>
    <w:p w14:paraId="691C6269" w14:textId="77777777" w:rsidR="009D6C9C" w:rsidRDefault="009D6C9C" w:rsidP="009D6C9C">
      <w:pPr>
        <w:pStyle w:val="Default"/>
        <w:jc w:val="both"/>
      </w:pPr>
    </w:p>
    <w:p w14:paraId="14EF2D26" w14:textId="58A5BBA4" w:rsidR="009D6C9C" w:rsidRPr="009D6C9C" w:rsidRDefault="009D6C9C" w:rsidP="009D6C9C">
      <w:pPr>
        <w:pStyle w:val="Default"/>
        <w:ind w:left="567"/>
        <w:jc w:val="both"/>
        <w:rPr>
          <w:sz w:val="22"/>
          <w:szCs w:val="22"/>
        </w:rPr>
      </w:pPr>
      <w:r w:rsidRPr="009D6C9C">
        <w:rPr>
          <w:sz w:val="22"/>
          <w:szCs w:val="22"/>
        </w:rPr>
        <w:t xml:space="preserve">Mentre il servizio completo di traduzione e interpretazione viene garantito per le sedute plenarie e tutti i documenti ufficiali adottati dal Parlamento e dai suoi organi, l’approccio diviene più flessibile per i documenti e le riunioni preparatori: in tal caso, infatti, non necessariamente tutti i documenti vengono tradotti, né l’interpretazione viene fornita in tutte le lingue ufficiali. Le commissioni parlamentari, ad esempio, stilano i “profili linguistici” dei propri membri in modo da utilizzare soltanto le lingue effettivamente necessarie. In molte riunioni con un numero ridotto di partecipanti, i membri stessi possono stabilire, per motivi pratici, di lavorare in un numero limitato di lingue o, talvolta anche in una soltanto. </w:t>
      </w:r>
    </w:p>
    <w:p w14:paraId="29666B5C" w14:textId="36A3BAC2" w:rsidR="009D6C9C" w:rsidRPr="009D6C9C" w:rsidRDefault="009D6C9C" w:rsidP="009D6C9C">
      <w:pPr>
        <w:spacing w:after="0"/>
        <w:ind w:left="567" w:hanging="567"/>
        <w:jc w:val="right"/>
        <w:rPr>
          <w:rFonts w:ascii="Times New Roman" w:hAnsi="Times New Roman" w:cs="Times New Roman"/>
          <w:color w:val="00B0F0"/>
        </w:rPr>
      </w:pPr>
      <w:r w:rsidRPr="009D6C9C">
        <w:rPr>
          <w:rFonts w:ascii="Times New Roman" w:hAnsi="Times New Roman" w:cs="Times New Roman"/>
          <w:color w:val="00B0F0"/>
        </w:rPr>
        <w:t xml:space="preserve">(Parlamento Europeo, 2015) </w:t>
      </w:r>
    </w:p>
    <w:p w14:paraId="448D6885" w14:textId="77777777" w:rsidR="00BB2E3F" w:rsidRDefault="00BB2E3F" w:rsidP="00BB2E3F">
      <w:pPr>
        <w:spacing w:after="0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4F253160" w14:textId="6EB583C7" w:rsidR="009D6C9C" w:rsidRPr="00BB2E3F" w:rsidRDefault="00BB2E3F" w:rsidP="00BB2E3F">
      <w:pPr>
        <w:spacing w:after="0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 sitografia finale</w:t>
      </w:r>
    </w:p>
    <w:p w14:paraId="0C41EA33" w14:textId="6CBE35A7" w:rsidR="009D6C9C" w:rsidRDefault="009D6C9C" w:rsidP="009D6C9C">
      <w:pPr>
        <w:spacing w:after="0"/>
        <w:ind w:left="567" w:hanging="567"/>
        <w:rPr>
          <w:rFonts w:ascii="Times New Roman" w:hAnsi="Times New Roman" w:cs="Times New Roman"/>
          <w:color w:val="00B0F0"/>
          <w:sz w:val="24"/>
          <w:szCs w:val="24"/>
        </w:rPr>
      </w:pPr>
      <w:r w:rsidRPr="009D6C9C">
        <w:rPr>
          <w:rFonts w:ascii="Times New Roman" w:hAnsi="Times New Roman" w:cs="Times New Roman"/>
          <w:color w:val="00B0F0"/>
          <w:sz w:val="24"/>
          <w:szCs w:val="24"/>
        </w:rPr>
        <w:lastRenderedPageBreak/>
        <w:t>Parlamento Europeo</w:t>
      </w:r>
      <w:r w:rsidRPr="009D6C9C">
        <w:rPr>
          <w:rFonts w:ascii="Times New Roman" w:hAnsi="Times New Roman" w:cs="Times New Roman"/>
          <w:sz w:val="24"/>
          <w:szCs w:val="24"/>
        </w:rPr>
        <w:t xml:space="preserve">, </w:t>
      </w:r>
      <w:r w:rsidRPr="009D6C9C">
        <w:rPr>
          <w:rFonts w:ascii="Times New Roman" w:hAnsi="Times New Roman" w:cs="Times New Roman"/>
          <w:i/>
          <w:iCs/>
          <w:sz w:val="24"/>
          <w:szCs w:val="24"/>
        </w:rPr>
        <w:t>Multilinguismo al Parlamento: il valore aggiunto dell’Europa</w:t>
      </w:r>
      <w:r w:rsidRPr="009D6C9C">
        <w:rPr>
          <w:rFonts w:ascii="Times New Roman" w:hAnsi="Times New Roman" w:cs="Times New Roman"/>
          <w:sz w:val="24"/>
          <w:szCs w:val="24"/>
        </w:rPr>
        <w:t xml:space="preserve">, “https://www. europarl.europa.eu/sides/getDoc.do?pubRef=-//EP//TEXT+IM-PRESS+20071017FCS11816 +0+DOC+XML+V0//IT#title5”, 5 gennaio </w:t>
      </w:r>
      <w:r w:rsidRPr="009D6C9C">
        <w:rPr>
          <w:rFonts w:ascii="Times New Roman" w:hAnsi="Times New Roman" w:cs="Times New Roman"/>
          <w:color w:val="00B0F0"/>
          <w:sz w:val="24"/>
          <w:szCs w:val="24"/>
        </w:rPr>
        <w:t xml:space="preserve">2015 </w:t>
      </w:r>
    </w:p>
    <w:p w14:paraId="581D4B64" w14:textId="76E221C1" w:rsidR="00BB2E3F" w:rsidRDefault="00BB2E3F" w:rsidP="009D6C9C">
      <w:pPr>
        <w:spacing w:after="0"/>
        <w:ind w:left="567" w:hanging="567"/>
        <w:rPr>
          <w:rFonts w:ascii="Times New Roman" w:hAnsi="Times New Roman" w:cs="Times New Roman"/>
          <w:color w:val="00B0F0"/>
          <w:sz w:val="24"/>
          <w:szCs w:val="24"/>
        </w:rPr>
      </w:pPr>
    </w:p>
    <w:p w14:paraId="68398EF0" w14:textId="77777777" w:rsidR="00EC24B8" w:rsidRDefault="00EC24B8" w:rsidP="009D6C9C">
      <w:pPr>
        <w:spacing w:after="0"/>
        <w:ind w:left="567" w:hanging="567"/>
        <w:rPr>
          <w:rFonts w:ascii="Times New Roman" w:hAnsi="Times New Roman" w:cs="Times New Roman"/>
          <w:color w:val="FF0000"/>
          <w:sz w:val="28"/>
          <w:szCs w:val="28"/>
        </w:rPr>
      </w:pPr>
    </w:p>
    <w:p w14:paraId="5C35CE91" w14:textId="77A74CC8" w:rsidR="00BB2E3F" w:rsidRDefault="00EC24B8" w:rsidP="009D6C9C">
      <w:pPr>
        <w:spacing w:after="0"/>
        <w:ind w:left="567" w:hanging="567"/>
        <w:rPr>
          <w:rFonts w:ascii="Times New Roman" w:hAnsi="Times New Roman" w:cs="Times New Roman"/>
          <w:color w:val="FF0000"/>
          <w:sz w:val="28"/>
          <w:szCs w:val="28"/>
        </w:rPr>
      </w:pPr>
      <w:r w:rsidRPr="00EC24B8">
        <w:rPr>
          <w:rFonts w:ascii="Times New Roman" w:hAnsi="Times New Roman" w:cs="Times New Roman"/>
          <w:color w:val="FF0000"/>
          <w:sz w:val="28"/>
          <w:szCs w:val="28"/>
        </w:rPr>
        <w:t>Regola generale:</w:t>
      </w:r>
    </w:p>
    <w:p w14:paraId="6086ED04" w14:textId="210E696A" w:rsidR="00EC24B8" w:rsidRDefault="00EC24B8" w:rsidP="00EC24B8">
      <w:pPr>
        <w:pStyle w:val="Paragrafoelenco"/>
        <w:numPr>
          <w:ilvl w:val="0"/>
          <w:numId w:val="1"/>
        </w:num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Appuntare sempre le fonti e la data di consultazione</w:t>
      </w:r>
    </w:p>
    <w:p w14:paraId="3D5CCC4A" w14:textId="07C6BCEF" w:rsidR="00EC24B8" w:rsidRDefault="00EC24B8" w:rsidP="00EC24B8">
      <w:pPr>
        <w:pStyle w:val="Paragrafoelenco"/>
        <w:numPr>
          <w:ilvl w:val="0"/>
          <w:numId w:val="1"/>
        </w:num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Se il sito non ha una data, aggiungere in sitografia “s.d.” (= senza data) e la data dell’ultima consultazione</w:t>
      </w:r>
    </w:p>
    <w:p w14:paraId="6E4AC19D" w14:textId="1FBF803B" w:rsidR="00EC24B8" w:rsidRDefault="00EC24B8" w:rsidP="00EC24B8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</w:p>
    <w:p w14:paraId="10A7279C" w14:textId="0DE8AB79" w:rsidR="00EC24B8" w:rsidRPr="00EC24B8" w:rsidRDefault="00EC24B8" w:rsidP="00EC24B8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Quando riassumi/citi letteralmente qualche sito/qualche autore devi scriverlo </w:t>
      </w:r>
      <w:r>
        <w:rPr>
          <w:rFonts w:ascii="Times New Roman" w:hAnsi="Times New Roman" w:cs="Times New Roman"/>
          <w:color w:val="FF0000"/>
          <w:sz w:val="28"/>
          <w:szCs w:val="28"/>
          <w:u w:val="single"/>
        </w:rPr>
        <w:t>sempre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perché sennò potrebbero accusarti di plagio.</w:t>
      </w:r>
    </w:p>
    <w:sectPr w:rsidR="00EC24B8" w:rsidRPr="00EC24B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54529"/>
    <w:multiLevelType w:val="hybridMultilevel"/>
    <w:tmpl w:val="01C88F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388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8EC"/>
    <w:rsid w:val="00261040"/>
    <w:rsid w:val="005758EC"/>
    <w:rsid w:val="009D6C9C"/>
    <w:rsid w:val="00BB2E3F"/>
    <w:rsid w:val="00EC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14480"/>
  <w15:chartTrackingRefBased/>
  <w15:docId w15:val="{DBC4F8C8-483F-4869-B056-92DF8874D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9D6C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EC2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Desiati</dc:creator>
  <cp:keywords/>
  <dc:description/>
  <cp:lastModifiedBy>Silvia Desiati</cp:lastModifiedBy>
  <cp:revision>3</cp:revision>
  <dcterms:created xsi:type="dcterms:W3CDTF">2022-07-21T09:58:00Z</dcterms:created>
  <dcterms:modified xsi:type="dcterms:W3CDTF">2022-07-21T10:23:00Z</dcterms:modified>
</cp:coreProperties>
</file>