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Noto Sans Arabic" w:hAnsi="Noto Sans Arabic" w:eastAsia="Noto Sans Arabic"/>
          <w:sz w:val="20"/>
        </w:rPr>
        <w:t>الآلات الفلسفية في ظل المعرفة غير المكتملة: BOIS وSIMA وBORIS وفسيولوجيا الركيزة والذكاء الاصطناعي القابل للمساءلة</w:t>
      </w:r>
    </w:p>
    <w:p>
      <w:pPr>
        <w:jc w:val="right"/>
        <w:bidi w:val="1"/>
      </w:pPr>
      <w:r>
        <w:rPr>
          <w:rFonts w:ascii="Noto Sans Arabic" w:hAnsi="Noto Sans Arabic" w:eastAsia="Noto Sans Arabic"/>
          <w:sz w:val="20"/>
        </w:rPr>
        <w:t>Egor Temnikov¹*</w:t>
      </w:r>
    </w:p>
    <w:p>
      <w:pPr>
        <w:jc w:val="right"/>
        <w:bidi w:val="1"/>
      </w:pPr>
      <w:r>
        <w:rPr>
          <w:rFonts w:ascii="Noto Sans Arabic" w:hAnsi="Noto Sans Arabic" w:eastAsia="Noto Sans Arabic"/>
          <w:sz w:val="20"/>
        </w:rPr>
        <w:t>¹ لا توجد جهة انتساب مؤسسية. Shoreline, WA, USA. *للمراسلة: egor.temnik.86@gmail.com</w:t>
      </w:r>
    </w:p>
    <w:p>
      <w:pPr>
        <w:jc w:val="right"/>
        <w:bidi w:val="1"/>
      </w:pPr>
      <w:r>
        <w:rPr>
          <w:rFonts w:ascii="Noto Sans Arabic" w:hAnsi="Noto Sans Arabic" w:eastAsia="Noto Sans Arabic"/>
          <w:sz w:val="20"/>
        </w:rPr>
        <w:t>نوع المقالة: مسودة ما قبل النشر؛ مخطوطة مفاهيمية ومنهجية.</w:t>
      </w:r>
    </w:p>
    <w:p>
      <w:pPr>
        <w:jc w:val="right"/>
        <w:bidi w:val="1"/>
      </w:pPr>
      <w:r>
        <w:rPr>
          <w:rFonts w:ascii="Noto Sans Arabic" w:hAnsi="Noto Sans Arabic" w:eastAsia="Noto Sans Arabic"/>
          <w:sz w:val="20"/>
        </w:rPr>
        <w:t>هذه نسخة عربية محلية ضمن حزمة BOIS:SIMA&amp;BORIS العامة v1.3.1. الترجمة بمساعدة الذكاء الاصطناعي؛ النسخة الإنجليزية v4.6 هي النسخة المرجعية.</w:t>
      </w:r>
    </w:p>
    <w:p>
      <w:pPr>
        <w:pStyle w:val="Heading1"/>
        <w:jc w:val="right"/>
        <w:bidi w:val="1"/>
      </w:pPr>
      <w:r>
        <w:rPr>
          <w:rFonts w:ascii="Noto Sans Arabic" w:hAnsi="Noto Sans Arabic" w:eastAsia="Noto Sans Arabic"/>
          <w:sz w:val="20"/>
        </w:rPr>
        <w:t>بيانات مسودة ما قبل النشر</w:t>
      </w:r>
    </w:p>
    <w:p>
      <w:pPr>
        <w:jc w:val="right"/>
        <w:bidi w:val="1"/>
      </w:pPr>
      <w:r>
        <w:rPr>
          <w:rFonts w:ascii="Noto Sans Arabic" w:hAnsi="Noto Sans Arabic" w:eastAsia="Noto Sans Arabic"/>
          <w:sz w:val="20"/>
        </w:rPr>
        <w:t>ORCID: لا يوجد. الانتساب المؤسسي: لا يوجد. التمويل: تمويل ذاتي. تضارب المصالح: لم يُحدَّد. رابط المستودع/المواد: غير موجود في هذه النسخة. لا تعرض هذه المقالة بيانات تجريبية جديدة.</w:t>
      </w:r>
    </w:p>
    <w:p>
      <w:pPr>
        <w:pStyle w:val="Heading1"/>
        <w:jc w:val="right"/>
        <w:bidi w:val="1"/>
      </w:pPr>
      <w:r>
        <w:rPr>
          <w:rFonts w:ascii="Noto Sans Arabic" w:hAnsi="Noto Sans Arabic" w:eastAsia="Noto Sans Arabic"/>
          <w:sz w:val="20"/>
        </w:rPr>
        <w:t>مقدمة المؤلف</w:t>
      </w:r>
    </w:p>
    <w:p>
      <w:pPr>
        <w:jc w:val="right"/>
        <w:bidi w:val="1"/>
      </w:pPr>
      <w:r>
        <w:rPr>
          <w:rFonts w:ascii="Noto Sans Arabic" w:hAnsi="Noto Sans Arabic" w:eastAsia="Noto Sans Arabic"/>
          <w:sz w:val="20"/>
        </w:rPr>
        <w:t>وُلدت في الشرق الأقصى الروسي، في المنطقة اليهودية ذات الحكم الذاتي. لم أتخيل أبداً أنني سأقوم بأي نوع من الاكتشاف. وكان ذلك يبدو أقل احتمالاً لأنني لم أُكمل الجامعة: وجدت نفسي أمام اختيار بين كسب المال والدراسة، فاخترت كسب المال.</w:t>
      </w:r>
    </w:p>
    <w:p>
      <w:pPr>
        <w:jc w:val="right"/>
        <w:bidi w:val="1"/>
      </w:pPr>
      <w:r>
        <w:rPr>
          <w:rFonts w:ascii="Noto Sans Arabic" w:hAnsi="Noto Sans Arabic" w:eastAsia="Noto Sans Arabic"/>
          <w:sz w:val="20"/>
        </w:rPr>
        <w:t>ومع ذلك، قادني اهتمامي بالفلسفة إلى الاكتشاف الموصوف في المقالة أدناه.</w:t>
      </w:r>
    </w:p>
    <w:p>
      <w:pPr>
        <w:jc w:val="right"/>
        <w:bidi w:val="1"/>
      </w:pPr>
      <w:r>
        <w:rPr>
          <w:rFonts w:ascii="Noto Sans Arabic" w:hAnsi="Noto Sans Arabic" w:eastAsia="Noto Sans Arabic"/>
          <w:sz w:val="20"/>
        </w:rPr>
        <w:t>صيغ هذا الاكتشاف في البداية للشركات لأنني كنت مستعجلاً في نشره. ومع ذلك أؤمن بصدق بأن الباحثين في المستقبل سيجدونه مثيراً للاهتمام لتفسير ظواهر الحياة والوعي.</w:t>
      </w:r>
    </w:p>
    <w:p>
      <w:pPr>
        <w:jc w:val="right"/>
        <w:bidi w:val="1"/>
      </w:pPr>
      <w:r>
        <w:rPr>
          <w:rFonts w:ascii="Noto Sans Arabic" w:hAnsi="Noto Sans Arabic" w:eastAsia="Noto Sans Arabic"/>
          <w:sz w:val="20"/>
        </w:rPr>
        <w:t>هذا الاكتشاف عبارة عن دورة مغلقة تتغذى على الانتباه والمجهول، وتنتج خبرة متحققة وتزايداً في التنوع تحت ضغط متزامن نحو التعاون. إنه نوع من الآلة الفلسفية. مجال التعريف الدقيق ليس متاحاً لي؛ لذلك، ومن أجل النشر، اتخذت قراراً واعياً بتقييد المجال في منطقة ضيقة وتطبيقية: بناء خطط الأعمال ودعم تنفيذها. هذا عمل نظري، وعلى الرغم من أن الاختبارات جارية الآن، فإنه لم يخرج بعد من مختبر الفيلسوف المعاصر: مكتب للكتابة مع حاسوب.</w:t>
      </w:r>
    </w:p>
    <w:p>
      <w:pPr>
        <w:jc w:val="right"/>
        <w:bidi w:val="1"/>
      </w:pPr>
      <w:r>
        <w:rPr>
          <w:rFonts w:ascii="Noto Sans Arabic" w:hAnsi="Noto Sans Arabic" w:eastAsia="Noto Sans Arabic"/>
          <w:sz w:val="20"/>
        </w:rPr>
        <w:t>كي لا أتدخل في العمل الإبداعي لـ ChatGPT، أقدّم هنا قائمة بالمصادر التي استخدمتها. قرأت هذه الكتب خلال حياتي، والأفكار الواردة فيها تشكّل أساس اكتشافي.</w:t>
      </w:r>
    </w:p>
    <w:p>
      <w:pPr>
        <w:jc w:val="right"/>
        <w:bidi w:val="1"/>
      </w:pPr>
      <w:r>
        <w:rPr>
          <w:rFonts w:ascii="Noto Sans Arabic" w:hAnsi="Noto Sans Arabic" w:eastAsia="Noto Sans Arabic"/>
          <w:sz w:val="20"/>
        </w:rPr>
        <w:t>تمت الترجمة من الروسية بواسطة ChatGPT باستخدام البروتوكول الموصوف هنا.</w:t>
      </w:r>
    </w:p>
    <w:p>
      <w:pPr>
        <w:jc w:val="right"/>
        <w:bidi w:val="1"/>
      </w:pPr>
      <w:r>
        <w:rPr>
          <w:rFonts w:ascii="Noto Sans Arabic" w:hAnsi="Noto Sans Arabic" w:eastAsia="Noto Sans Arabic"/>
          <w:sz w:val="20"/>
        </w:rPr>
        <w:t>المصادر التي أشار إليها المؤلف والمحفوظة داخل قسم المؤلف:</w:t>
      </w:r>
    </w:p>
    <w:p>
      <w:pPr>
        <w:pStyle w:val="ListBullet"/>
        <w:jc w:val="right"/>
        <w:bidi w:val="1"/>
      </w:pPr>
      <w:r>
        <w:rPr>
          <w:rFonts w:ascii="Noto Sans Arabic" w:hAnsi="Noto Sans Arabic" w:eastAsia="Noto Sans Arabic"/>
          <w:sz w:val="20"/>
        </w:rPr>
        <w:t>البهاغافاد غيتا.</w:t>
      </w:r>
    </w:p>
    <w:p>
      <w:pPr>
        <w:pStyle w:val="ListBullet"/>
        <w:jc w:val="right"/>
        <w:bidi w:val="1"/>
      </w:pPr>
      <w:r>
        <w:rPr>
          <w:rFonts w:ascii="Noto Sans Arabic" w:hAnsi="Noto Sans Arabic" w:eastAsia="Noto Sans Arabic"/>
          <w:sz w:val="20"/>
        </w:rPr>
        <w:t>M. K. Mamardashvili، *قراءات فلسفية*. موسكو: Azbuka-Klassika، 2002، 832 صفحة. يتضمن: *مدخل إلى الفلسفة*؛ *جماليات التفكير*؛ *تأملات ديكارتية*.</w:t>
      </w:r>
    </w:p>
    <w:p>
      <w:pPr>
        <w:pStyle w:val="ListBullet"/>
        <w:jc w:val="right"/>
        <w:bidi w:val="1"/>
      </w:pPr>
      <w:r>
        <w:rPr>
          <w:rFonts w:ascii="Noto Sans Arabic" w:hAnsi="Noto Sans Arabic" w:eastAsia="Noto Sans Arabic"/>
          <w:sz w:val="20"/>
        </w:rPr>
        <w:t>A. G. Tyslenko، *الإدارة: الهياكل التنظيمية للإدارة*. موسكو: Alfa-Press، 2011، 320 صفحة.</w:t>
      </w:r>
    </w:p>
    <w:p>
      <w:pPr>
        <w:pStyle w:val="ListBullet"/>
        <w:jc w:val="right"/>
        <w:bidi w:val="1"/>
      </w:pPr>
      <w:r>
        <w:rPr>
          <w:rFonts w:ascii="Noto Sans Arabic" w:hAnsi="Noto Sans Arabic" w:eastAsia="Noto Sans Arabic"/>
          <w:sz w:val="20"/>
        </w:rPr>
        <w:t>F. A. Hayek، *الطريق إلى العبودية*.</w:t>
      </w:r>
    </w:p>
    <w:p>
      <w:pPr>
        <w:pStyle w:val="ListBullet"/>
        <w:jc w:val="right"/>
        <w:bidi w:val="1"/>
      </w:pPr>
      <w:r>
        <w:rPr>
          <w:rFonts w:ascii="Noto Sans Arabic" w:hAnsi="Noto Sans Arabic" w:eastAsia="Noto Sans Arabic"/>
          <w:sz w:val="20"/>
        </w:rPr>
        <w:t>Karl Marx، *رأس المال*، المجلد الأول.</w:t>
      </w:r>
    </w:p>
    <w:p>
      <w:pPr>
        <w:pStyle w:val="ListBullet"/>
        <w:jc w:val="right"/>
        <w:bidi w:val="1"/>
      </w:pPr>
      <w:r>
        <w:rPr>
          <w:rFonts w:ascii="Noto Sans Arabic" w:hAnsi="Noto Sans Arabic" w:eastAsia="Noto Sans Arabic"/>
          <w:sz w:val="20"/>
        </w:rPr>
        <w:t>Richard Dawkins، *الجين الأناني*.</w:t>
      </w:r>
    </w:p>
    <w:p>
      <w:pPr>
        <w:pStyle w:val="ListBullet"/>
        <w:jc w:val="right"/>
        <w:bidi w:val="1"/>
      </w:pPr>
      <w:r>
        <w:rPr>
          <w:rFonts w:ascii="Noto Sans Arabic" w:hAnsi="Noto Sans Arabic" w:eastAsia="Noto Sans Arabic"/>
          <w:sz w:val="20"/>
        </w:rPr>
        <w:t>ISO 9001 بوصفه قراءة المؤلف لأفكار John Boyd.</w:t>
      </w:r>
    </w:p>
    <w:p>
      <w:pPr>
        <w:jc w:val="right"/>
        <w:bidi w:val="1"/>
      </w:pPr>
      <w:r>
        <w:rPr>
          <w:rFonts w:ascii="Noto Sans Arabic" w:hAnsi="Noto Sans Arabic" w:eastAsia="Noto Sans Arabic"/>
          <w:sz w:val="20"/>
        </w:rPr>
        <w:t>ملاحظة: هذه القائمة جزء من مقدمة المؤلف ولا تُنقل إلى قائمة المراجع العامة للمقالة.</w:t>
      </w:r>
    </w:p>
    <w:p>
      <w:pPr>
        <w:jc w:val="right"/>
        <w:bidi w:val="1"/>
      </w:pPr>
      <w:r>
        <w:rPr>
          <w:rFonts w:ascii="Noto Sans Arabic" w:hAnsi="Noto Sans Arabic" w:eastAsia="Noto Sans Arabic"/>
          <w:sz w:val="20"/>
        </w:rPr>
        <w:t>ملاحظات غير أساسية من المؤلف: في العمل اللاحق يُعرض اسمي العائلي بصيغة مختصرة لأنني، بعد اكتمال التسوية القانونية في الولايات المتحدة، أعتزم إزالة النهاية المحلية «-ov» من الاسم والإبقاء فقط على الجذر غير المتغير الأنسب للعالم الناطق بالإنجليزية.</w:t>
      </w:r>
    </w:p>
    <w:p>
      <w:pPr>
        <w:pStyle w:val="Heading1"/>
        <w:jc w:val="right"/>
        <w:bidi w:val="1"/>
      </w:pPr>
      <w:r>
        <w:rPr>
          <w:rFonts w:ascii="Noto Sans Arabic" w:hAnsi="Noto Sans Arabic" w:eastAsia="Noto Sans Arabic"/>
          <w:sz w:val="20"/>
        </w:rPr>
        <w:t>الإفصاح عن توليد النص واستخدام الذكاء الاصطناعي</w:t>
      </w:r>
    </w:p>
    <w:p>
      <w:pPr>
        <w:jc w:val="right"/>
        <w:bidi w:val="1"/>
      </w:pPr>
      <w:r>
        <w:rPr>
          <w:rFonts w:ascii="Noto Sans Arabic" w:hAnsi="Noto Sans Arabic" w:eastAsia="Noto Sans Arabic"/>
          <w:sz w:val="20"/>
        </w:rPr>
        <w:t>أُعدّت مسودة v4.6 بتحديث المخطوطة v4.5 المتوائمة مع النواة وفق بيانات ما قبل النشر التي قدمها المؤلف. استُخدم الذكاء الاصطناعي التوليدي كمساعد في التركيب والصياغة والترجمة والتنسيق وضبط الجودة تحت توجيه المؤلف؛ الذكاء الاصطناعي ليس مؤلفاً. يبقى المؤلف البشري مسؤولاً عن الادعاءات والمراجع والتحرير النهائي وقرارات النشر وأي إفصاحات لاحقة.</w:t>
      </w:r>
    </w:p>
    <w:p>
      <w:pPr>
        <w:pStyle w:val="Heading1"/>
        <w:jc w:val="right"/>
        <w:bidi w:val="1"/>
      </w:pPr>
      <w:r>
        <w:rPr>
          <w:rFonts w:ascii="Noto Sans Arabic" w:hAnsi="Noto Sans Arabic" w:eastAsia="Noto Sans Arabic"/>
          <w:sz w:val="20"/>
        </w:rPr>
        <w:t>الملخص</w:t>
      </w:r>
    </w:p>
    <w:p>
      <w:pPr>
        <w:jc w:val="right"/>
        <w:bidi w:val="1"/>
      </w:pPr>
      <w:r>
        <w:rPr>
          <w:rFonts w:ascii="Noto Sans Arabic" w:hAnsi="Noto Sans Arabic" w:eastAsia="Noto Sans Arabic"/>
          <w:sz w:val="20"/>
        </w:rPr>
        <w:t>غالباً ما تبدأ حوكمة الذكاء الاصطناعي بالمخرجات والمخاطر والقيم، لكن طبقة تشغيلية أعمق تصبح حاسمة: الآلة التي تعرّف الأشياء والأدلة والفاعلية والمخاطر والإغلاق والانتقال. تحدّث هذه المقالة بروتوكول BOIS وفق الحالة الحالية BOIS/BORIS v2.6، مضيفة SIMA كطبقة تحليلية وBORIS كطبقة تنفيذية. يعامل BOIS كآلة فلسفية موجهة نحو الانتقال للنشاط المنظم ذي العواقب في ظل معرفة غير مكتملة، لا كنظرية كونية ولا كمنتج مثبت ميدانياً. تعيد SIMA بناء آلات مرشحة من فسيولوجيا الركيزة عبر opers وجرد operome والمراسلة التشغيلية. يبني BORIS تطبيقات ضيقة النطاق يجب اختبارها بالتجربة. تظل قاعدة الركيزة M@S مركزية.</w:t>
      </w:r>
    </w:p>
    <w:p>
      <w:pPr>
        <w:jc w:val="right"/>
        <w:bidi w:val="1"/>
      </w:pPr>
      <w:r>
        <w:rPr>
          <w:rFonts w:ascii="Noto Sans Arabic" w:hAnsi="Noto Sans Arabic" w:eastAsia="Noto Sans Arabic"/>
          <w:sz w:val="20"/>
        </w:rPr>
        <w:t>الكلمات المفتاحية: آلات فلسفية؛ BOIS؛ SIMA؛ BORIS؛ معرفة غير مكتملة؛ فسيولوجيا الركيزة؛ ذكاء اصطناعي مسؤول؛ opers؛ operome؛ مراسلة تشغيلية.</w:t>
      </w:r>
    </w:p>
    <w:p>
      <w:pPr>
        <w:pStyle w:val="Heading1"/>
        <w:jc w:val="right"/>
        <w:bidi w:val="1"/>
      </w:pPr>
      <w:r>
        <w:rPr>
          <w:rFonts w:ascii="Noto Sans Arabic" w:hAnsi="Noto Sans Arabic" w:eastAsia="Noto Sans Arabic"/>
          <w:sz w:val="20"/>
        </w:rPr>
        <w:t>1. الطبقة التشغيلية المفقودة</w:t>
      </w:r>
    </w:p>
    <w:p>
      <w:pPr>
        <w:jc w:val="right"/>
        <w:bidi w:val="1"/>
      </w:pPr>
      <w:r>
        <w:rPr>
          <w:rFonts w:ascii="Noto Sans Arabic" w:hAnsi="Noto Sans Arabic" w:eastAsia="Noto Sans Arabic"/>
          <w:sz w:val="20"/>
        </w:rPr>
        <w:t>لم تعد المسألة العملية في العمل المتوسَّط بالذكاء الاصطناعي هي فقط ما إذا كان النموذج يستطيع إنتاج جمل سلسة أو دقيقة. السؤال الأصعب هو: أي بنية استدلال تُفعَّل بصمت عندما يجيب النظام أو يوصي أو يلخص أو يصعّد أو يغلق مهمة؟ يمكن للنظام أن يكون دقيقاً محلياً، ومع ذلك يستورد أنطولوجيا هشة، أو نظرية ضمنية للأدلة، أو حكماً قيمياً غير مصرح به، أو إحساساً مبكراً بالإتمام. هذه ليست إخفاقات تقنية فحسب؛ إنها إخفاقات فلسفية صارت تشغيلية.</w:t>
      </w:r>
    </w:p>
    <w:p>
      <w:pPr>
        <w:jc w:val="right"/>
        <w:bidi w:val="1"/>
      </w:pPr>
      <w:r>
        <w:rPr>
          <w:rFonts w:ascii="Noto Sans Arabic" w:hAnsi="Noto Sans Arabic" w:eastAsia="Noto Sans Arabic"/>
          <w:sz w:val="20"/>
        </w:rPr>
        <w:t>الآلة الفلسفية هي بنية قابلة للفحص للبحث والفعل. إنها تحدد ما يُقبل ككيانات، وما يُعد دليلاً، ومن يملك الفاعلية، وكيف تدخل الأهداف، وأي مخاطر توقف الفعل، وكيف تُغلق الدورة، وما الذي يُحمل إلى الدورة التالية. هذا لا يعني أن الآلة واعية أو أن البرمجيات تصبح فيلسوفاً. إنه يعني أن الأنظمة قد تجسد شروطاً محكومة بالقواعد للاستدلال، وأن هذه الشروط يجب أن تكون مرئية قبل أن تعمل في العالم.</w:t>
      </w:r>
    </w:p>
    <w:p>
      <w:pPr>
        <w:jc w:val="right"/>
        <w:bidi w:val="1"/>
      </w:pPr>
      <w:r>
        <w:rPr>
          <w:rFonts w:ascii="Noto Sans Arabic" w:hAnsi="Noto Sans Arabic" w:eastAsia="Noto Sans Arabic"/>
          <w:sz w:val="20"/>
        </w:rPr>
        <w:t>يمكن كتابة التصميم الأدنى على الصورة M = &lt;O, E, A, V, R, C, T&gt;: أنطولوجيا، إبستمولوجيا، فاعلية، واجهة قيم، نموذج مخاطر، قاعدة إغلاق، وقاعدة انتقال.</w:t>
      </w:r>
    </w:p>
    <w:p>
      <w:pPr>
        <w:pStyle w:val="Heading1"/>
        <w:jc w:val="right"/>
        <w:bidi w:val="1"/>
      </w:pPr>
      <w:r>
        <w:rPr>
          <w:rFonts w:ascii="Noto Sans Arabic" w:hAnsi="Noto Sans Arabic" w:eastAsia="Noto Sans Arabic"/>
          <w:sz w:val="20"/>
        </w:rPr>
        <w:t>2. BOIS كآلة بروتوكولية للمعرفة غير المكتملة</w:t>
      </w:r>
    </w:p>
    <w:p>
      <w:pPr>
        <w:jc w:val="right"/>
        <w:bidi w:val="1"/>
      </w:pPr>
      <w:r>
        <w:rPr>
          <w:rFonts w:ascii="Noto Sans Arabic" w:hAnsi="Noto Sans Arabic" w:eastAsia="Noto Sans Arabic"/>
          <w:sz w:val="20"/>
        </w:rPr>
        <w:t>BOIS آلة فلسفية ضمن فئة أوسع. كان مجالها الكانوني هو الشركة أو المنظمة الاقتصادية، لكن الحالة الحالية للمشروع تفهم كلمة “business” بمعنى أوسع: نشاط منظم ذو عواقب. ينطلق BOIS من أن الفعل يحدث في ظل معرفة غير مكتملة. لا تعرف المنظمة بالكامل عملاءها أو التنظيمات المستقبلية أو المنافسين أو أنماط فشلها الداخلية أو عواقب قراراتها. لا يزيل BOIS هذا الشرط؛ بل ينظّم الانتقالات التي تجعل المعرفة غير المكتملة بحثاً وفعلاً.</w:t>
      </w:r>
    </w:p>
    <w:p>
      <w:pPr>
        <w:jc w:val="right"/>
        <w:bidi w:val="1"/>
      </w:pPr>
      <w:r>
        <w:rPr>
          <w:rFonts w:ascii="Noto Sans Arabic" w:hAnsi="Noto Sans Arabic" w:eastAsia="Noto Sans Arabic"/>
          <w:sz w:val="20"/>
        </w:rPr>
        <w:t>الدورة الدنيا لـ BOIS هي: انتباه محرر -&gt; جهل أو مجال جهل -&gt; مجهول ذو قيمة -&gt; سؤال ذو قيمة -&gt; بروتوكول -&gt; خطوة تالية -&gt; تنفيذ -&gt; خبرة -&gt; تغذية راجعة وانتقاء -&gt; نتيجة متحققة -&gt; تعليمات -&gt; فسيولوجيا -&gt; انتباه محرر. ليست الدورة ميتافيزيقا لكل شيء، بل حد أدنى لإعادة البناء يمنع الخلط بين المجهولات والأسئلة والبروتوكولات والخطوات والخبرة والنتائج المتحققة والتعليمات.</w:t>
      </w:r>
    </w:p>
    <w:p>
      <w:pPr>
        <w:jc w:val="right"/>
        <w:bidi w:val="1"/>
      </w:pPr>
      <w:r>
        <w:rPr>
          <w:rFonts w:ascii="Noto Sans Arabic" w:hAnsi="Noto Sans Arabic" w:eastAsia="Noto Sans Arabic"/>
          <w:sz w:val="20"/>
        </w:rPr>
        <w:t>التمييز المركزي هو بين البروتوكول والتعليمات. البروتوكول يُستخدم عندما يكون الوضع مجهولاً أو غير مختبر بما يكفي أو مكلفاً عند الخطأ. التعليمات تنفذ ما تم التحقق منه بما يكفي داخل مجال محدد. النتيجة المتحققة ليست حقيقة أبدية؛ إنها محلية وقابلة للمراجعة. الخطوة التالية ليست معرفة؛ إنها فرضية لتغيير الحالة.</w:t>
      </w:r>
    </w:p>
    <w:p>
      <w:pPr>
        <w:pStyle w:val="Heading1"/>
        <w:jc w:val="right"/>
        <w:bidi w:val="1"/>
      </w:pPr>
      <w:r>
        <w:rPr>
          <w:rFonts w:ascii="Noto Sans Arabic" w:hAnsi="Noto Sans Arabic" w:eastAsia="Noto Sans Arabic"/>
          <w:sz w:val="20"/>
        </w:rPr>
        <w:t>3. SIMA وBORIS</w:t>
      </w:r>
    </w:p>
    <w:p>
      <w:pPr>
        <w:jc w:val="right"/>
        <w:bidi w:val="1"/>
      </w:pPr>
      <w:r>
        <w:rPr>
          <w:rFonts w:ascii="Noto Sans Arabic" w:hAnsi="Noto Sans Arabic" w:eastAsia="Noto Sans Arabic"/>
          <w:sz w:val="20"/>
        </w:rPr>
        <w:t>SIMA، محلل الآلات المستقل عن الركيزة، هو الطبقة التحليلية. يتلقى بيانات عن الفسيولوجيا الفعلية لكائن ما - منظمة أو سير عمل أو مؤسسة أو جماعة - ويعيد بناء آلات فلسفية مرشحة. يستخدم opers: انتقالات صغرى قابلة للملاحظة تربط بين المحفز، والتمييز، والدليل، والحامل، والسلطة، وبوابة القيمة/المخاطر، والتحول، والكتابة في الذاكرة، والإغلاق، وبقايا الانتقال، والكلفة. تسمى مجموعة opers في نافذة ملاحظة operome عندما يساعد المصطلح على الوضوح.</w:t>
      </w:r>
    </w:p>
    <w:p>
      <w:pPr>
        <w:jc w:val="right"/>
        <w:bidi w:val="1"/>
      </w:pPr>
      <w:r>
        <w:rPr>
          <w:rFonts w:ascii="Noto Sans Arabic" w:hAnsi="Noto Sans Arabic" w:eastAsia="Noto Sans Arabic"/>
          <w:sz w:val="20"/>
        </w:rPr>
        <w:t>BORIS هو طبقة تنفيذ BOIS وليس نواة ثانية. إنه يحول القواعد إلى أعضاء تشغيلية: سجلات واجهة القيم، سجلات المجهولات، بطاقات البروتوكول، بطاقات التعليمات، مستويات الدليل، سجلات الخبرة، دفاتر الانتباه، تعريفات الأدوار، إجراءات الأزمات، بروتوكولات النقل، الأرشيفات وحزم الانتقال.</w:t>
      </w:r>
    </w:p>
    <w:p>
      <w:pPr>
        <w:pStyle w:val="Heading1"/>
        <w:jc w:val="right"/>
        <w:bidi w:val="1"/>
      </w:pPr>
      <w:r>
        <w:rPr>
          <w:rFonts w:ascii="Noto Sans Arabic" w:hAnsi="Noto Sans Arabic" w:eastAsia="Noto Sans Arabic"/>
          <w:sz w:val="20"/>
        </w:rPr>
        <w:t>4. فضاء التصميم</w:t>
      </w:r>
    </w:p>
    <w:p>
      <w:pPr>
        <w:jc w:val="right"/>
        <w:bidi w:val="1"/>
      </w:pPr>
      <w:r>
        <w:rPr>
          <w:rFonts w:ascii="Noto Sans Arabic" w:hAnsi="Noto Sans Arabic" w:eastAsia="Noto Sans Arabic"/>
          <w:sz w:val="20"/>
        </w:rPr>
        <w:t>يعرض BOIS تصميماً واحداً ولا يستنفد فئة الآلات الفلسفية. إنه موجه نحو الانتقال: معرفة غير مكتملة، حدود المجال، القابلية للعكس، مستويات الدليل، تأليف المشغل، جودة الإغلاق وحفظ الحالة. آلات أخرى ستكون لها مزايا وإخفاقات مختلفة: آلة شكية، براغماتية، علمية تفنيدية، أخلاقية، هرمينوطيقية، أو أبوفاتية. المسألة ليست اختيار الأسلوب الأكثر فلسفية، بل مواءمة الآلة مع المجال والمخاطر والغرض مع بقاء هذه المواءمة قابلة للطعن.</w:t>
      </w:r>
    </w:p>
    <w:p>
      <w:pPr>
        <w:pStyle w:val="Heading1"/>
        <w:jc w:val="right"/>
        <w:bidi w:val="1"/>
      </w:pPr>
      <w:r>
        <w:rPr>
          <w:rFonts w:ascii="Noto Sans Arabic" w:hAnsi="Noto Sans Arabic" w:eastAsia="Noto Sans Arabic"/>
          <w:sz w:val="20"/>
        </w:rPr>
        <w:t>5. الركيزة: M@S وفسيولوجيا التنفيذ</w:t>
      </w:r>
    </w:p>
    <w:p>
      <w:pPr>
        <w:jc w:val="right"/>
        <w:bidi w:val="1"/>
      </w:pPr>
      <w:r>
        <w:rPr>
          <w:rFonts w:ascii="Noto Sans Arabic" w:hAnsi="Noto Sans Arabic" w:eastAsia="Noto Sans Arabic"/>
          <w:sz w:val="20"/>
        </w:rPr>
        <w:t>الآلات الفلسفية ليست مجموعات قواعد بلا جسد. يجب أن تشغّلها ركيزة: جسد، لجنة، سير عمل برمجي، شبكة حساسات، جماعة حيوانية، مؤسسة، سرب روبوتي أو بيئة هجينة إنسان-ذكاء اصطناعي. عند التشغيل تكتسب الآلة أزمنة وقنوات واختناقات ومخازن ذاكرة وتكاليف طاقة وأنماط فشل وآليات إصلاح وتعرضات أخلاقية.</w:t>
      </w:r>
    </w:p>
    <w:p>
      <w:pPr>
        <w:jc w:val="right"/>
        <w:bidi w:val="1"/>
      </w:pPr>
      <w:r>
        <w:rPr>
          <w:rFonts w:ascii="Noto Sans Arabic" w:hAnsi="Noto Sans Arabic" w:eastAsia="Noto Sans Arabic"/>
          <w:sz w:val="20"/>
        </w:rPr>
        <w:t>لذلك تُكتب الآلة الفلسفية M@S: الآلة M منفذة على الركيزة S. P(M,S) هي فسيولوجيا التنفيذ. إذا اختلفت S1 وS2 في خصائص ذات صلة بـ M، فستختلف P(M,S1) وP(M,S2) حتى لو حُفظت وظيفة عليا مختارة. لا تقول القاعدة إن كل اختلاف مجهري مهم؛ بل إن الاختلافات ذات الصلة في الركيزة تغيّر الفسيولوجيا.</w:t>
      </w:r>
    </w:p>
    <w:p>
      <w:pPr>
        <w:pStyle w:val="Heading1"/>
        <w:jc w:val="right"/>
        <w:bidi w:val="1"/>
      </w:pPr>
      <w:r>
        <w:rPr>
          <w:rFonts w:ascii="Noto Sans Arabic" w:hAnsi="Noto Sans Arabic" w:eastAsia="Noto Sans Arabic"/>
          <w:sz w:val="20"/>
        </w:rPr>
        <w:t>6. المكررات والحاملون والنحل والذئاب</w:t>
      </w:r>
    </w:p>
    <w:p>
      <w:pPr>
        <w:jc w:val="right"/>
        <w:bidi w:val="1"/>
      </w:pPr>
      <w:r>
        <w:rPr>
          <w:rFonts w:ascii="Noto Sans Arabic" w:hAnsi="Noto Sans Arabic" w:eastAsia="Noto Sans Arabic"/>
          <w:sz w:val="20"/>
        </w:rPr>
        <w:t>كتاب Richard Dawkins *الجين الأناني* مهم هنا لأنه يحذر من الخلط بين النمط المنتشر وحامله أو «آلة بقائه». قد تنتقل قاعدة أو معيار أو ميم أو بروتوكول أو روتين تنظيمي، لكن كل تنفيذ محلي يمر عبر أجساد وبنى تحتية وضغوط انتقائية تغير حياته العملية.</w:t>
      </w:r>
    </w:p>
    <w:p>
      <w:pPr>
        <w:jc w:val="right"/>
        <w:bidi w:val="1"/>
      </w:pPr>
      <w:r>
        <w:rPr>
          <w:rFonts w:ascii="Noto Sans Arabic" w:hAnsi="Noto Sans Arabic" w:eastAsia="Noto Sans Arabic"/>
          <w:sz w:val="20"/>
        </w:rPr>
        <w:t>آلة تشاورية بسيطة D يجب أن تبحث في ظل معرفة غير مكتملة، تقارن الخيارات، تضخم الدليل الأفضل، تتقارب دون تدمير تماسك المجموعة، وتبدأ الفعل. على سرب نحل تصبح D كشافات ورقصات ونصاباً حرارياً واستعداداً للطيران. على قطيع ذئاب لا يمكن أن تصبح رقصة نصاب نحل؛ بل تصبح انتباهاً موزعاً وحركة وقرابة وإشارات صوتية وشمية وخطراً جسدياً وجوعاً وتعباً وإصابة ومطاردة مكانية. السرب ليس لجنة بأجنحة، والقطيع ليس برلماناً بأنياب.</w:t>
      </w:r>
    </w:p>
    <w:p>
      <w:pPr>
        <w:pStyle w:val="Heading1"/>
        <w:jc w:val="right"/>
        <w:bidi w:val="1"/>
      </w:pPr>
      <w:r>
        <w:rPr>
          <w:rFonts w:ascii="Noto Sans Arabic" w:hAnsi="Noto Sans Arabic" w:eastAsia="Noto Sans Arabic"/>
          <w:sz w:val="20"/>
        </w:rPr>
        <w:t>7. الذكاء الاصطناعي والمؤسسات وإعلانات الركيزة</w:t>
      </w:r>
    </w:p>
    <w:p>
      <w:pPr>
        <w:jc w:val="right"/>
        <w:bidi w:val="1"/>
      </w:pPr>
      <w:r>
        <w:rPr>
          <w:rFonts w:ascii="Noto Sans Arabic" w:hAnsi="Noto Sans Arabic" w:eastAsia="Noto Sans Arabic"/>
          <w:sz w:val="20"/>
        </w:rPr>
        <w:t>يجب أن تشمل شفافية الذكاء الاصطناعي أكثر من مصدر النموذج وحدوده. يجب أن تشمل الآلة الفلسفية المعلنة وإعلان الركيزة: ما الذي يشغلها، ما القنوات التي تستخدمها، أين تُخزن الذاكرة، ما الذي يُعد طاقة أو تكلفة، ما الذي قد يفشل، من يستطيع إيقافها، ما الذي يتضرر إذا حسّنت بشكل خاطئ، وما آليات التدقيق والإصلاح. الإشراف البشري يكون ذا معنى فقط عندما يرى الإنسان الحلقة التي يوجد داخلها.</w:t>
      </w:r>
    </w:p>
    <w:p>
      <w:pPr>
        <w:pStyle w:val="Heading1"/>
        <w:jc w:val="right"/>
        <w:bidi w:val="1"/>
      </w:pPr>
      <w:r>
        <w:rPr>
          <w:rFonts w:ascii="Noto Sans Arabic" w:hAnsi="Noto Sans Arabic" w:eastAsia="Noto Sans Arabic"/>
          <w:sz w:val="20"/>
        </w:rPr>
        <w:t>8. الاختبارات وانضباط النشر</w:t>
      </w:r>
    </w:p>
    <w:p>
      <w:pPr>
        <w:jc w:val="right"/>
        <w:bidi w:val="1"/>
      </w:pPr>
      <w:r>
        <w:rPr>
          <w:rFonts w:ascii="Noto Sans Arabic" w:hAnsi="Noto Sans Arabic" w:eastAsia="Noto Sans Arabic"/>
          <w:sz w:val="20"/>
        </w:rPr>
        <w:t>يجب اختبار الآلة الفلسفية على عدة مستويات: الاتساق الداخلي، النقل الخصومي، العاقبة التشغيلية، جودة الإغلاق، اختبار التعيين، اختبار التشويه، والاختبار الأخلاقي. الآلة التي تعد بتحرير الانتباه يجب أن تقلل إعادة العمل، توضح المسؤولية، تحسن جودة الدليل، وتحفظ عدم اليقين غير المحلول.</w:t>
      </w:r>
    </w:p>
    <w:p>
      <w:pPr>
        <w:jc w:val="right"/>
        <w:bidi w:val="1"/>
      </w:pPr>
      <w:r>
        <w:rPr>
          <w:rFonts w:ascii="Noto Sans Arabic" w:hAnsi="Noto Sans Arabic" w:eastAsia="Noto Sans Arabic"/>
          <w:sz w:val="20"/>
        </w:rPr>
        <w:t>هذا النص مفاهيمي ومنهجي. إنه لا يقدم تحققاً ميدانياً من BOIS، ولا يثبت أن أي جماعة بيولوجية فيلسوف، ولا يدعي أن أنظمة الذكاء الاصطناعي تمتلك وعياً.</w:t>
      </w:r>
    </w:p>
    <w:p>
      <w:pPr>
        <w:pStyle w:val="Heading1"/>
        <w:jc w:val="right"/>
        <w:bidi w:val="1"/>
      </w:pPr>
      <w:r>
        <w:rPr>
          <w:rFonts w:ascii="Noto Sans Arabic" w:hAnsi="Noto Sans Arabic" w:eastAsia="Noto Sans Arabic"/>
          <w:sz w:val="20"/>
        </w:rPr>
        <w:t>9. برنامج البحث</w:t>
      </w:r>
    </w:p>
    <w:p>
      <w:pPr>
        <w:jc w:val="right"/>
        <w:bidi w:val="1"/>
      </w:pPr>
      <w:r>
        <w:rPr>
          <w:rFonts w:ascii="Noto Sans Arabic" w:hAnsi="Noto Sans Arabic" w:eastAsia="Noto Sans Arabic"/>
          <w:sz w:val="20"/>
        </w:rPr>
        <w:t>يمكن للبرنامج البحثي أن يبدأ ببناء مكتبة مضبوطة من قوالب الآلات الفلسفية، وتعريف اختبارات إجهاد لكل قالب، وتشغيلها على حالات مشتركة، وقياس ليس فقط جودة الإجابة بل انضباط الفئات، وإفصاح القيم، وحفظ عدم اليقين، والقابلية للعكس، وتشويه الركيزة وفاعلية المشغل. بالنسبة إلى BOIS، لا ينبغي أن يكون العمل التالي تضخيماً للنواة، بل بناء طبقات قابلة للاختبار وتجارب ميدانية.</w:t>
      </w:r>
    </w:p>
    <w:p>
      <w:pPr>
        <w:pStyle w:val="Heading1"/>
        <w:jc w:val="right"/>
        <w:bidi w:val="1"/>
      </w:pPr>
      <w:r>
        <w:rPr>
          <w:rFonts w:ascii="Noto Sans Arabic" w:hAnsi="Noto Sans Arabic" w:eastAsia="Noto Sans Arabic"/>
          <w:sz w:val="20"/>
        </w:rPr>
        <w:t>10. الخاتمة</w:t>
      </w:r>
    </w:p>
    <w:p>
      <w:pPr>
        <w:jc w:val="right"/>
        <w:bidi w:val="1"/>
      </w:pPr>
      <w:r>
        <w:rPr>
          <w:rFonts w:ascii="Noto Sans Arabic" w:hAnsi="Noto Sans Arabic" w:eastAsia="Noto Sans Arabic"/>
          <w:sz w:val="20"/>
        </w:rPr>
        <w:t>الآلات الفلسفية ليست فلسفات عائمة. إنها بنيات بحث تمر عبر أشخاص ووثائق ومؤسسات وبرمجيات وأجساد وبيئات. تقترح BOIS وSIMA وBORIS بنية واحدة: BOIS يعطي نواة انتقالية؛ SIMA يحلل الآلات والمخاطر من الفسيولوجيا؛ BORIS ينفذ أعضاء عمل ضيقة؛ واختبارات الخبرة تتحقق من المطابقة مع الواقع. لبناء ذكاء اصطناعي ومؤسسات قابلة للمساءلة، يجب أن نعلن ليس فقط المخرجات والنماذج والبيانات والقيم، بل أيضاً الآلة الفلسفية والجسد الذي تعمل فيه. الفلسفة الخفية ليست حيادية؛ إنها غير مدققة.</w:t>
      </w:r>
    </w:p>
    <w:p>
      <w:pPr>
        <w:pStyle w:val="Heading1"/>
        <w:jc w:val="right"/>
        <w:bidi w:val="1"/>
      </w:pPr>
      <w:r>
        <w:rPr>
          <w:rFonts w:ascii="Noto Sans Arabic" w:hAnsi="Noto Sans Arabic" w:eastAsia="Noto Sans Arabic"/>
          <w:sz w:val="20"/>
        </w:rPr>
        <w:t>الشكر والإفصاحات</w:t>
      </w:r>
    </w:p>
    <w:p>
      <w:pPr>
        <w:jc w:val="right"/>
        <w:bidi w:val="1"/>
      </w:pPr>
      <w:r>
        <w:rPr>
          <w:rFonts w:ascii="Noto Sans Arabic" w:hAnsi="Noto Sans Arabic" w:eastAsia="Noto Sans Arabic"/>
          <w:sz w:val="20"/>
        </w:rPr>
        <w:t>هذه المخطوطة مسودة مفاهيمية ومنهجية أُعدّت من مواد عمل المؤلف. لا تعرض بيانات تجريبية جديدة. ساعد الذكاء الاصطناعي التوليدي في التركيب والصياغة والترجمة والتنسيق وضبط الجودة تحت توجيه المؤلف؛ الذكاء الاصطناعي ليس مؤلفاً. التمويل: ذاتي. تضارب المصالح: غير محدد.</w:t>
      </w:r>
    </w:p>
    <w:p>
      <w:pPr>
        <w:pStyle w:val="Heading1"/>
        <w:jc w:val="right"/>
        <w:bidi w:val="1"/>
      </w:pPr>
      <w:r>
        <w:rPr>
          <w:rFonts w:ascii="Noto Sans Arabic" w:hAnsi="Noto Sans Arabic" w:eastAsia="Noto Sans Arabic"/>
          <w:sz w:val="20"/>
        </w:rPr>
        <w:t>المراجع</w:t>
      </w:r>
    </w:p>
    <w:p>
      <w:pPr>
        <w:jc w:val="right"/>
        <w:bidi w:val="1"/>
      </w:pPr>
      <w:r>
        <w:rPr>
          <w:rFonts w:ascii="Noto Sans Arabic" w:hAnsi="Noto Sans Arabic" w:eastAsia="Noto Sans Arabic"/>
          <w:sz w:val="20"/>
        </w:rPr>
        <w:t>1. H. A. Simon, A behavioral model of rational choice (1955).</w:t>
      </w:r>
    </w:p>
    <w:p>
      <w:pPr>
        <w:jc w:val="right"/>
        <w:bidi w:val="1"/>
      </w:pPr>
      <w:r>
        <w:rPr>
          <w:rFonts w:ascii="Noto Sans Arabic" w:hAnsi="Noto Sans Arabic" w:eastAsia="Noto Sans Arabic"/>
          <w:sz w:val="20"/>
        </w:rPr>
        <w:t>2. H. A. Simon, The Sciences of the Artificial (1996).</w:t>
      </w:r>
    </w:p>
    <w:p>
      <w:pPr>
        <w:jc w:val="right"/>
        <w:bidi w:val="1"/>
      </w:pPr>
      <w:r>
        <w:rPr>
          <w:rFonts w:ascii="Noto Sans Arabic" w:hAnsi="Noto Sans Arabic" w:eastAsia="Noto Sans Arabic"/>
          <w:sz w:val="20"/>
        </w:rPr>
        <w:t>3. R. M. Cyert, J. G. March, A Behavioral Theory of the Firm (1963).</w:t>
      </w:r>
    </w:p>
    <w:p>
      <w:pPr>
        <w:jc w:val="right"/>
        <w:bidi w:val="1"/>
      </w:pPr>
      <w:r>
        <w:rPr>
          <w:rFonts w:ascii="Noto Sans Arabic" w:hAnsi="Noto Sans Arabic" w:eastAsia="Noto Sans Arabic"/>
          <w:sz w:val="20"/>
        </w:rPr>
        <w:t>4. J. G. March, Exploration and exploitation in organizational learning (1991).</w:t>
      </w:r>
    </w:p>
    <w:p>
      <w:pPr>
        <w:jc w:val="right"/>
        <w:bidi w:val="1"/>
      </w:pPr>
      <w:r>
        <w:rPr>
          <w:rFonts w:ascii="Noto Sans Arabic" w:hAnsi="Noto Sans Arabic" w:eastAsia="Noto Sans Arabic"/>
          <w:sz w:val="20"/>
        </w:rPr>
        <w:t>5. C. Argyris, D. A. Schön, Organizational Learning (1978).</w:t>
      </w:r>
    </w:p>
    <w:p>
      <w:pPr>
        <w:jc w:val="right"/>
        <w:bidi w:val="1"/>
      </w:pPr>
      <w:r>
        <w:rPr>
          <w:rFonts w:ascii="Noto Sans Arabic" w:hAnsi="Noto Sans Arabic" w:eastAsia="Noto Sans Arabic"/>
          <w:sz w:val="20"/>
        </w:rPr>
        <w:t>6. N. Wiener, Cybernetics (1948).</w:t>
      </w:r>
    </w:p>
    <w:p>
      <w:pPr>
        <w:jc w:val="right"/>
        <w:bidi w:val="1"/>
      </w:pPr>
      <w:r>
        <w:rPr>
          <w:rFonts w:ascii="Noto Sans Arabic" w:hAnsi="Noto Sans Arabic" w:eastAsia="Noto Sans Arabic"/>
          <w:sz w:val="20"/>
        </w:rPr>
        <w:t>7. W. R. Ashby, An Introduction to Cybernetics (1956).</w:t>
      </w:r>
    </w:p>
    <w:p>
      <w:pPr>
        <w:jc w:val="right"/>
        <w:bidi w:val="1"/>
      </w:pPr>
      <w:r>
        <w:rPr>
          <w:rFonts w:ascii="Noto Sans Arabic" w:hAnsi="Noto Sans Arabic" w:eastAsia="Noto Sans Arabic"/>
          <w:sz w:val="20"/>
        </w:rPr>
        <w:t>8. C. W. Churchman, The Design of Inquiring Systems (1971).</w:t>
      </w:r>
    </w:p>
    <w:p>
      <w:pPr>
        <w:jc w:val="right"/>
        <w:bidi w:val="1"/>
      </w:pPr>
      <w:r>
        <w:rPr>
          <w:rFonts w:ascii="Noto Sans Arabic" w:hAnsi="Noto Sans Arabic" w:eastAsia="Noto Sans Arabic"/>
          <w:sz w:val="20"/>
        </w:rPr>
        <w:t>9. J. Dewey, Logic: The Theory of Inquiry (1938).</w:t>
      </w:r>
    </w:p>
    <w:p>
      <w:pPr>
        <w:jc w:val="right"/>
        <w:bidi w:val="1"/>
      </w:pPr>
      <w:r>
        <w:rPr>
          <w:rFonts w:ascii="Noto Sans Arabic" w:hAnsi="Noto Sans Arabic" w:eastAsia="Noto Sans Arabic"/>
          <w:sz w:val="20"/>
        </w:rPr>
        <w:t>10. D. Marr, Vision (1982).</w:t>
      </w:r>
    </w:p>
    <w:p>
      <w:pPr>
        <w:jc w:val="right"/>
        <w:bidi w:val="1"/>
      </w:pPr>
      <w:r>
        <w:rPr>
          <w:rFonts w:ascii="Noto Sans Arabic" w:hAnsi="Noto Sans Arabic" w:eastAsia="Noto Sans Arabic"/>
          <w:sz w:val="20"/>
        </w:rPr>
        <w:t>11. C. E. Shannon, A mathematical theory of communication (1948).</w:t>
      </w:r>
    </w:p>
    <w:p>
      <w:pPr>
        <w:jc w:val="right"/>
        <w:bidi w:val="1"/>
      </w:pPr>
      <w:r>
        <w:rPr>
          <w:rFonts w:ascii="Noto Sans Arabic" w:hAnsi="Noto Sans Arabic" w:eastAsia="Noto Sans Arabic"/>
          <w:sz w:val="20"/>
        </w:rPr>
        <w:t>12. A. M. Turing, Computing machinery and intelligence (1950).</w:t>
      </w:r>
    </w:p>
    <w:p>
      <w:pPr>
        <w:jc w:val="right"/>
        <w:bidi w:val="1"/>
      </w:pPr>
      <w:r>
        <w:rPr>
          <w:rFonts w:ascii="Noto Sans Arabic" w:hAnsi="Noto Sans Arabic" w:eastAsia="Noto Sans Arabic"/>
          <w:sz w:val="20"/>
        </w:rPr>
        <w:t>13. R. Dawkins, The Selfish Gene (1976).</w:t>
      </w:r>
    </w:p>
    <w:p>
      <w:pPr>
        <w:jc w:val="right"/>
        <w:bidi w:val="1"/>
      </w:pPr>
      <w:r>
        <w:rPr>
          <w:rFonts w:ascii="Noto Sans Arabic" w:hAnsi="Noto Sans Arabic" w:eastAsia="Noto Sans Arabic"/>
          <w:sz w:val="20"/>
        </w:rPr>
        <w:t>14. A. Clark, D. J. Chalmers, The extended mind (1998).</w:t>
      </w:r>
    </w:p>
    <w:p>
      <w:pPr>
        <w:jc w:val="right"/>
        <w:bidi w:val="1"/>
      </w:pPr>
      <w:r>
        <w:rPr>
          <w:rFonts w:ascii="Noto Sans Arabic" w:hAnsi="Noto Sans Arabic" w:eastAsia="Noto Sans Arabic"/>
          <w:sz w:val="20"/>
        </w:rPr>
        <w:t>15. D. A. Norman, Cognitive artifacts (1991).</w:t>
      </w:r>
    </w:p>
    <w:p>
      <w:pPr>
        <w:jc w:val="right"/>
        <w:bidi w:val="1"/>
      </w:pPr>
      <w:r>
        <w:rPr>
          <w:rFonts w:ascii="Noto Sans Arabic" w:hAnsi="Noto Sans Arabic" w:eastAsia="Noto Sans Arabic"/>
          <w:sz w:val="20"/>
        </w:rPr>
        <w:t>16. D. Kirsh, P. Maglio, On distinguishing epistemic from pragmatic action (1994).</w:t>
      </w:r>
    </w:p>
    <w:p>
      <w:pPr>
        <w:jc w:val="right"/>
        <w:bidi w:val="1"/>
      </w:pPr>
      <w:r>
        <w:rPr>
          <w:rFonts w:ascii="Noto Sans Arabic" w:hAnsi="Noto Sans Arabic" w:eastAsia="Noto Sans Arabic"/>
          <w:sz w:val="20"/>
        </w:rPr>
        <w:t>17. E. Bonabeau, M. Dorigo, G. Theraulaz, Swarm Intelligence (1999).</w:t>
      </w:r>
    </w:p>
    <w:p>
      <w:pPr>
        <w:jc w:val="right"/>
        <w:bidi w:val="1"/>
      </w:pPr>
      <w:r>
        <w:rPr>
          <w:rFonts w:ascii="Noto Sans Arabic" w:hAnsi="Noto Sans Arabic" w:eastAsia="Noto Sans Arabic"/>
          <w:sz w:val="20"/>
        </w:rPr>
        <w:t>18. G. Theraulaz, E. Bonabeau, A brief history of stigmergy (1999).</w:t>
      </w:r>
    </w:p>
    <w:p>
      <w:pPr>
        <w:jc w:val="right"/>
        <w:bidi w:val="1"/>
      </w:pPr>
      <w:r>
        <w:rPr>
          <w:rFonts w:ascii="Noto Sans Arabic" w:hAnsi="Noto Sans Arabic" w:eastAsia="Noto Sans Arabic"/>
          <w:sz w:val="20"/>
        </w:rPr>
        <w:t>19. T. D. Seeley, Honeybee Democracy (2010).</w:t>
      </w:r>
    </w:p>
    <w:p>
      <w:pPr>
        <w:jc w:val="right"/>
        <w:bidi w:val="1"/>
      </w:pPr>
      <w:r>
        <w:rPr>
          <w:rFonts w:ascii="Noto Sans Arabic" w:hAnsi="Noto Sans Arabic" w:eastAsia="Noto Sans Arabic"/>
          <w:sz w:val="20"/>
        </w:rPr>
        <w:t>20. I. D. Couzin et al., Effective leadership and decision-making in animal groups on the move (2005).</w:t>
      </w:r>
    </w:p>
    <w:p>
      <w:pPr>
        <w:jc w:val="right"/>
        <w:bidi w:val="1"/>
      </w:pPr>
      <w:r>
        <w:rPr>
          <w:rFonts w:ascii="Noto Sans Arabic" w:hAnsi="Noto Sans Arabic" w:eastAsia="Noto Sans Arabic"/>
          <w:sz w:val="20"/>
        </w:rPr>
        <w:t>21. C. W. Reynolds, Flocks, herds and schools (1987).</w:t>
      </w:r>
    </w:p>
    <w:p>
      <w:pPr>
        <w:jc w:val="right"/>
        <w:bidi w:val="1"/>
      </w:pPr>
      <w:r>
        <w:rPr>
          <w:rFonts w:ascii="Noto Sans Arabic" w:hAnsi="Noto Sans Arabic" w:eastAsia="Noto Sans Arabic"/>
          <w:sz w:val="20"/>
        </w:rPr>
        <w:t>22. L. D. Mech, Alpha status, dominance, and division of labor in wolf packs (1999).</w:t>
      </w:r>
    </w:p>
    <w:p>
      <w:pPr>
        <w:jc w:val="right"/>
        <w:bidi w:val="1"/>
      </w:pPr>
      <w:r>
        <w:rPr>
          <w:rFonts w:ascii="Noto Sans Arabic" w:hAnsi="Noto Sans Arabic" w:eastAsia="Noto Sans Arabic"/>
          <w:sz w:val="20"/>
        </w:rPr>
        <w:t>23. K. R. Popper, The Logic of Scientific Discovery (1959).</w:t>
      </w:r>
    </w:p>
    <w:p>
      <w:pPr>
        <w:jc w:val="right"/>
        <w:bidi w:val="1"/>
      </w:pPr>
      <w:r>
        <w:rPr>
          <w:rFonts w:ascii="Noto Sans Arabic" w:hAnsi="Noto Sans Arabic" w:eastAsia="Noto Sans Arabic"/>
          <w:sz w:val="20"/>
        </w:rPr>
        <w:t>24. L. Floridi, J. Cowls, A unified framework of five principles for AI in society (2019).</w:t>
      </w:r>
    </w:p>
    <w:p>
      <w:pPr>
        <w:jc w:val="right"/>
        <w:bidi w:val="1"/>
      </w:pPr>
      <w:r>
        <w:rPr>
          <w:rFonts w:ascii="Noto Sans Arabic" w:hAnsi="Noto Sans Arabic" w:eastAsia="Noto Sans Arabic"/>
          <w:sz w:val="20"/>
        </w:rPr>
        <w:t>25. R. Bommasani et al., On the opportunities and risks of foundation models (2021).</w:t>
      </w:r>
    </w:p>
    <w:p>
      <w:pPr>
        <w:jc w:val="right"/>
        <w:bidi w:val="1"/>
      </w:pPr>
      <w:r>
        <w:rPr>
          <w:rFonts w:ascii="Noto Sans Arabic" w:hAnsi="Noto Sans Arabic" w:eastAsia="Noto Sans Arabic"/>
          <w:sz w:val="20"/>
        </w:rPr>
        <w:t>26. E. M. Bender et al., On the dangers of stochastic parrots (2021).</w:t>
      </w:r>
    </w:p>
    <w:p>
      <w:pPr>
        <w:jc w:val="right"/>
        <w:bidi w:val="1"/>
      </w:pPr>
      <w:r>
        <w:rPr>
          <w:rFonts w:ascii="Noto Sans Arabic" w:hAnsi="Noto Sans Arabic" w:eastAsia="Noto Sans Arabic"/>
          <w:sz w:val="20"/>
        </w:rPr>
        <w:t>27. H. W. J. Rittel, M. M. Webber, Dilemmas in a general theory of planning (1973).</w:t>
      </w:r>
    </w:p>
    <w:p>
      <w:pPr>
        <w:jc w:val="right"/>
        <w:bidi w:val="1"/>
      </w:pPr>
      <w:r>
        <w:rPr>
          <w:rFonts w:ascii="Noto Sans Arabic" w:hAnsi="Noto Sans Arabic" w:eastAsia="Noto Sans Arabic"/>
          <w:sz w:val="20"/>
        </w:rPr>
        <w:t>28. L. A. Suchman, Plans and Situated Actions (1987).</w:t>
      </w:r>
    </w:p>
    <w:p>
      <w:pPr>
        <w:jc w:val="right"/>
        <w:bidi w:val="1"/>
      </w:pPr>
      <w:r>
        <w:rPr>
          <w:rFonts w:ascii="Noto Sans Arabic" w:hAnsi="Noto Sans Arabic" w:eastAsia="Noto Sans Arabic"/>
          <w:sz w:val="20"/>
        </w:rPr>
        <w:t>29. T. S. Kuhn, The Structure of Scientific Revolutions (1962).</w:t>
      </w:r>
    </w:p>
    <w:p>
      <w:pPr>
        <w:jc w:val="right"/>
        <w:bidi w:val="1"/>
      </w:pPr>
      <w:r>
        <w:rPr>
          <w:rFonts w:ascii="Noto Sans Arabic" w:hAnsi="Noto Sans Arabic" w:eastAsia="Noto Sans Arabic"/>
          <w:sz w:val="20"/>
        </w:rPr>
        <w:t>30. S. Russell, Human Compatible (2019).</w:t>
      </w:r>
    </w:p>
    <w:p>
      <w:pPr>
        <w:jc w:val="right"/>
        <w:bidi w:val="1"/>
      </w:pPr>
      <w:r>
        <w:rPr>
          <w:rFonts w:ascii="Noto Sans Arabic" w:hAnsi="Noto Sans Arabic" w:eastAsia="Noto Sans Arabic"/>
          <w:sz w:val="20"/>
        </w:rPr>
        <w:t>31. K. E. Weick, Sensemaking in Organizations (1995).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eastAsia="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eastAsia="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eastAsia="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eastAsia="Noto Sans Arab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