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0"/>
        </w:rPr>
        <w:t>BOIS legal code registration text content [текстовое содержание для регистрации кода] v1.4.10</w:t>
      </w:r>
    </w:p>
    <w:p/>
    <w:p>
      <w:r>
        <w:t>Status [статус]: release companion [сопровождающий артефакт релиза]. Not legal advice [не юридическая консультация].</w:t>
      </w:r>
    </w:p>
    <w:p/>
    <w:p>
      <w:r>
        <w:t>Archive identity [идентичность архива]: BOIS_SIMA_BORIS_Public_Release_v1_4_10_Program_Text_Companion_Hash_Repair_BORIS_EGO_v1_7_2026-06-12.zip.</w:t>
      </w:r>
    </w:p>
    <w:p/>
    <w:p>
      <w:r>
        <w:t>Active state [активное состояние]: BOIS/BORIS main [основная линия BOIS/BORIS] v2.23 + SIMA [Substrate-Independent Machine Analyzer / субстрато-независимый машинный анализатор] v0.4 + BORIS EGO [Ethical Goal Orchestrator / этический оркестратор производных целей] v1.7.</w:t>
      </w:r>
    </w:p>
    <w:p/>
    <w:p>
      <w:r>
        <w:t>New material [новый материал]: Program Text Package [пакет текста программы] is embedded and separately delivered; legal companion SHA-256 [контрольные суммы SHA-256] are recalculated after final file generation.</w:t>
      </w:r>
    </w:p>
    <w:p/>
    <w:p>
      <w:r>
        <w:t>Attorney note [заметка адвокату]: final deposit copy [депозитная копия] and filing strategy [стратегия подачи] are selected by attorney / claimant [адвокатом / заявителем].</w:t>
      </w:r>
    </w:p>
    <w:p/>
    <w:p>
      <w:r>
        <w:t>Companion files [сопровождающие файлы]:</w:t>
      </w:r>
    </w:p>
    <w:p/>
    <w:p>
      <w:pPr>
        <w:pStyle w:val="ListBullet"/>
      </w:pPr>
      <w:r>
        <w:t>`BOIS_PUBLIC_ARCHIVE_SOURCE_CODE_FULL_v1_4_10.txt` - source code [исходный код], SHA-256 [контрольная сумма SHA-256]: `6684f64a3d22f512d91efef30a9bb61f5d75d25d71b6fee875b8d69f475af461`.</w:t>
      </w:r>
    </w:p>
    <w:p>
      <w:pPr>
        <w:pStyle w:val="ListBullet"/>
      </w:pPr>
      <w:r>
        <w:t>`BOIS_PUBLIC_ARCHIVE_FULL_TEXT_CONTENT_v1_4_10.txt` - full text content [полное текстовое содержание], SHA-256 [контрольная сумма SHA-256]: `6bd85c3465847d45e1984f000367c499af953c7d0452ea1b6564c5be9af76248`.</w:t>
      </w:r>
    </w:p>
    <w:p>
      <w:pPr>
        <w:pStyle w:val="ListBullet"/>
      </w:pPr>
      <w:r>
        <w:t>`BOIS_PUBLIC_ARCHIVE_TEXT_MANIFEST_v1_4_10.json` - manifest [манифест], SHA-256 [контрольная сумма SHA-256]: `01b3bae46a39e71e55c6a780efe2229dbd6bf674c1dd4adf172a13d501d66112`.</w:t>
      </w:r>
    </w:p>
    <w:p/>
    <w:p>
      <w:r>
        <w:t>Program text package [пакет текста программы]: see [см.] `PROGRAM_TEXT_PACKAGE.md` and [и] `legal/program_text/`.</w:t>
      </w:r>
    </w:p>
    <w:p/>
    <w:p>
      <w:r>
        <w:t>Integrity rule [правило целостности]: BR-118 - Program Text Companion Integrity Rule [правило целостности сопровождающего пакета текста программы]. The SHA-256 [контрольные суммы SHA-256] above were computed from the final files in this release tree after the last content edit.</w:t>
      </w:r>
    </w:p>
    <w:p/>
    <w:p>
      <w:r>
        <w:t>Manifest boundary [граница манифеста]: `BOIS_PUBLIC_ARCHIVE_TEXT_MANIFEST_v1_4_10.json` excludes its own SHA-256 [собственную контрольную сумму SHA-256] and legal companion MD/DOCX/PDF [сопровождающие юридические MD/DOCX/PDF] to avoid circular hash references [циклические ссылки контрольных сумм].</w:t>
      </w:r>
    </w:p>
    <w:p/>
    <w:p>
      <w:r>
        <w:t>Boundary [граница]: this document supports code registration review [проверку регистрации кода], but does not provide legal advice [юридическую консультацию].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