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39F1" w:rsidRPr="005D7C3A" w:rsidRDefault="005D1C66" w:rsidP="00B92FAC">
      <w:pPr>
        <w:spacing w:line="360" w:lineRule="auto"/>
        <w:jc w:val="both"/>
        <w:rPr>
          <w:rFonts w:ascii="Times New Roman" w:hAnsi="Times New Roman" w:cs="Times New Roman"/>
          <w:b/>
          <w:sz w:val="28"/>
          <w:szCs w:val="28"/>
        </w:rPr>
      </w:pPr>
      <w:r w:rsidRPr="005D7C3A">
        <w:rPr>
          <w:rFonts w:ascii="Times New Roman" w:hAnsi="Times New Roman" w:cs="Times New Roman"/>
          <w:b/>
          <w:sz w:val="28"/>
          <w:szCs w:val="28"/>
        </w:rPr>
        <w:t xml:space="preserve">Обзор финансового инструмента: </w:t>
      </w:r>
      <w:r w:rsidR="00EF6365">
        <w:rPr>
          <w:rFonts w:ascii="Times New Roman" w:hAnsi="Times New Roman" w:cs="Times New Roman"/>
          <w:b/>
          <w:sz w:val="28"/>
          <w:szCs w:val="28"/>
        </w:rPr>
        <w:t>Д</w:t>
      </w:r>
      <w:r w:rsidRPr="005D7C3A">
        <w:rPr>
          <w:rFonts w:ascii="Times New Roman" w:hAnsi="Times New Roman" w:cs="Times New Roman"/>
          <w:b/>
          <w:sz w:val="28"/>
          <w:szCs w:val="28"/>
        </w:rPr>
        <w:t xml:space="preserve">олевое </w:t>
      </w:r>
      <w:r w:rsidR="00EF6365">
        <w:rPr>
          <w:rFonts w:ascii="Times New Roman" w:hAnsi="Times New Roman" w:cs="Times New Roman"/>
          <w:b/>
          <w:sz w:val="28"/>
          <w:szCs w:val="28"/>
        </w:rPr>
        <w:t>С</w:t>
      </w:r>
      <w:r w:rsidRPr="005D7C3A">
        <w:rPr>
          <w:rFonts w:ascii="Times New Roman" w:hAnsi="Times New Roman" w:cs="Times New Roman"/>
          <w:b/>
          <w:sz w:val="28"/>
          <w:szCs w:val="28"/>
        </w:rPr>
        <w:t xml:space="preserve">трахование </w:t>
      </w:r>
      <w:r w:rsidR="00EF6365">
        <w:rPr>
          <w:rFonts w:ascii="Times New Roman" w:hAnsi="Times New Roman" w:cs="Times New Roman"/>
          <w:b/>
          <w:sz w:val="28"/>
          <w:szCs w:val="28"/>
        </w:rPr>
        <w:t>Ж</w:t>
      </w:r>
      <w:r w:rsidRPr="005D7C3A">
        <w:rPr>
          <w:rFonts w:ascii="Times New Roman" w:hAnsi="Times New Roman" w:cs="Times New Roman"/>
          <w:b/>
          <w:sz w:val="28"/>
          <w:szCs w:val="28"/>
        </w:rPr>
        <w:t>изни</w:t>
      </w:r>
    </w:p>
    <w:p w:rsidR="005D7C3A" w:rsidRDefault="005D7C3A" w:rsidP="00B92FAC">
      <w:pPr>
        <w:spacing w:line="360" w:lineRule="auto"/>
        <w:jc w:val="both"/>
        <w:rPr>
          <w:rFonts w:ascii="Times New Roman" w:hAnsi="Times New Roman" w:cs="Times New Roman"/>
          <w:b/>
          <w:sz w:val="28"/>
          <w:szCs w:val="28"/>
        </w:rPr>
      </w:pPr>
      <w:r>
        <w:rPr>
          <w:rFonts w:ascii="Times New Roman" w:hAnsi="Times New Roman" w:cs="Times New Roman"/>
          <w:b/>
          <w:sz w:val="28"/>
          <w:szCs w:val="28"/>
        </w:rPr>
        <w:t>Введение</w:t>
      </w:r>
    </w:p>
    <w:p w:rsidR="005D7C3A" w:rsidRPr="005D7C3A" w:rsidRDefault="005D7C3A" w:rsidP="00B92FAC">
      <w:pPr>
        <w:spacing w:line="360" w:lineRule="auto"/>
        <w:jc w:val="both"/>
        <w:rPr>
          <w:rFonts w:ascii="Times New Roman" w:hAnsi="Times New Roman" w:cs="Times New Roman"/>
          <w:sz w:val="28"/>
          <w:szCs w:val="28"/>
        </w:rPr>
      </w:pPr>
      <w:r w:rsidRPr="005D7C3A">
        <w:rPr>
          <w:rFonts w:ascii="Times New Roman" w:hAnsi="Times New Roman" w:cs="Times New Roman"/>
          <w:sz w:val="28"/>
          <w:szCs w:val="28"/>
        </w:rPr>
        <w:t>Российский финансовый рынок последних лет характеризуется повышенной волатильностью, обусловленной как глобальными геополитическими сдвигами, так и внутренними экономическими процессами. В этих условиях долевое страхование жизни</w:t>
      </w:r>
      <w:r>
        <w:rPr>
          <w:rFonts w:ascii="Times New Roman" w:hAnsi="Times New Roman" w:cs="Times New Roman"/>
          <w:sz w:val="28"/>
          <w:szCs w:val="28"/>
        </w:rPr>
        <w:t xml:space="preserve"> (ДСЖ)</w:t>
      </w:r>
      <w:r w:rsidRPr="005D7C3A">
        <w:rPr>
          <w:rFonts w:ascii="Times New Roman" w:hAnsi="Times New Roman" w:cs="Times New Roman"/>
          <w:sz w:val="28"/>
          <w:szCs w:val="28"/>
        </w:rPr>
        <w:t xml:space="preserve"> приобретает особое значение как стратегический инструмент, синтезирующий страховую защиту с возможностью </w:t>
      </w:r>
      <w:proofErr w:type="spellStart"/>
      <w:r w:rsidRPr="005D7C3A">
        <w:rPr>
          <w:rFonts w:ascii="Times New Roman" w:hAnsi="Times New Roman" w:cs="Times New Roman"/>
          <w:sz w:val="28"/>
          <w:szCs w:val="28"/>
        </w:rPr>
        <w:t>капиталообразования</w:t>
      </w:r>
      <w:proofErr w:type="spellEnd"/>
      <w:r w:rsidRPr="005D7C3A">
        <w:rPr>
          <w:rFonts w:ascii="Times New Roman" w:hAnsi="Times New Roman" w:cs="Times New Roman"/>
          <w:sz w:val="28"/>
          <w:szCs w:val="28"/>
        </w:rPr>
        <w:t>. Его уникальность заключается в способности адаптироваться к меняющимся рыночным условиям, предлагая участникам двойную выгоду — минимизацию рисков и участие в инвестиционном процессе. Такая комбинация функций делает данный продукт важным элементом системы долгосрочного финансового планирования.</w:t>
      </w:r>
    </w:p>
    <w:p w:rsidR="005D7C3A" w:rsidRPr="005D7C3A" w:rsidRDefault="005D7C3A" w:rsidP="00B92FAC">
      <w:pPr>
        <w:spacing w:line="360" w:lineRule="auto"/>
        <w:jc w:val="both"/>
        <w:rPr>
          <w:rFonts w:ascii="Times New Roman" w:hAnsi="Times New Roman" w:cs="Times New Roman"/>
          <w:sz w:val="28"/>
          <w:szCs w:val="28"/>
        </w:rPr>
      </w:pPr>
      <w:r w:rsidRPr="005D7C3A">
        <w:rPr>
          <w:rFonts w:ascii="Times New Roman" w:hAnsi="Times New Roman" w:cs="Times New Roman"/>
          <w:sz w:val="28"/>
          <w:szCs w:val="28"/>
        </w:rPr>
        <w:t xml:space="preserve">Гибридная модель </w:t>
      </w:r>
      <w:r>
        <w:rPr>
          <w:rFonts w:ascii="Times New Roman" w:hAnsi="Times New Roman" w:cs="Times New Roman"/>
          <w:sz w:val="28"/>
          <w:szCs w:val="28"/>
        </w:rPr>
        <w:t xml:space="preserve">ДСЖ </w:t>
      </w:r>
      <w:r w:rsidRPr="005D7C3A">
        <w:rPr>
          <w:rFonts w:ascii="Times New Roman" w:hAnsi="Times New Roman" w:cs="Times New Roman"/>
          <w:sz w:val="28"/>
          <w:szCs w:val="28"/>
        </w:rPr>
        <w:t>принципиально отличается от классических страховых продуктов за счёт объединения гарантированных выплат при наступлении страховых случаев с инвестированием части премий в фондовые активы. Этот симбиоз создаёт новые возможности для формирования сбережений на стратегически важные цели — от образования детей до пенсионного обеспечения. При этом инвестиционная составляющая позволяет страхователям участвовать в росте финансовых рынков, а страховщикам — диверсифицировать свои резервы. Подобная архитектура продукта отвечает современным запросам на комплексные финансовые решения.</w:t>
      </w:r>
    </w:p>
    <w:p w:rsidR="005D7C3A" w:rsidRPr="005D7C3A" w:rsidRDefault="005D7C3A" w:rsidP="00B92FAC">
      <w:pPr>
        <w:spacing w:line="360" w:lineRule="auto"/>
        <w:jc w:val="both"/>
        <w:rPr>
          <w:rFonts w:ascii="Times New Roman" w:hAnsi="Times New Roman" w:cs="Times New Roman"/>
          <w:sz w:val="28"/>
          <w:szCs w:val="28"/>
        </w:rPr>
      </w:pPr>
      <w:r w:rsidRPr="005D7C3A">
        <w:rPr>
          <w:rFonts w:ascii="Times New Roman" w:hAnsi="Times New Roman" w:cs="Times New Roman"/>
          <w:sz w:val="28"/>
          <w:szCs w:val="28"/>
        </w:rPr>
        <w:t xml:space="preserve">Актуальность исследования </w:t>
      </w:r>
      <w:r>
        <w:rPr>
          <w:rFonts w:ascii="Times New Roman" w:hAnsi="Times New Roman" w:cs="Times New Roman"/>
          <w:sz w:val="28"/>
          <w:szCs w:val="28"/>
        </w:rPr>
        <w:t>ДСЖ многократно возросла после 2020</w:t>
      </w:r>
      <w:r w:rsidRPr="005D7C3A">
        <w:rPr>
          <w:rFonts w:ascii="Times New Roman" w:hAnsi="Times New Roman" w:cs="Times New Roman"/>
          <w:sz w:val="28"/>
          <w:szCs w:val="28"/>
        </w:rPr>
        <w:t xml:space="preserve"> года, </w:t>
      </w:r>
      <w:r>
        <w:rPr>
          <w:rFonts w:ascii="Times New Roman" w:hAnsi="Times New Roman" w:cs="Times New Roman"/>
          <w:sz w:val="28"/>
          <w:szCs w:val="28"/>
        </w:rPr>
        <w:t>период пандемии стимулировал</w:t>
      </w:r>
      <w:r w:rsidRPr="005D7C3A">
        <w:rPr>
          <w:rFonts w:ascii="Times New Roman" w:hAnsi="Times New Roman" w:cs="Times New Roman"/>
          <w:sz w:val="28"/>
          <w:szCs w:val="28"/>
        </w:rPr>
        <w:t xml:space="preserve"> развитие </w:t>
      </w:r>
      <w:r>
        <w:rPr>
          <w:rFonts w:ascii="Times New Roman" w:hAnsi="Times New Roman" w:cs="Times New Roman"/>
          <w:sz w:val="28"/>
          <w:szCs w:val="28"/>
        </w:rPr>
        <w:t>гибких</w:t>
      </w:r>
      <w:r w:rsidRPr="005D7C3A">
        <w:rPr>
          <w:rFonts w:ascii="Times New Roman" w:hAnsi="Times New Roman" w:cs="Times New Roman"/>
          <w:sz w:val="28"/>
          <w:szCs w:val="28"/>
        </w:rPr>
        <w:t xml:space="preserve"> финансовых инструментов</w:t>
      </w:r>
      <w:r>
        <w:rPr>
          <w:rFonts w:ascii="Times New Roman" w:hAnsi="Times New Roman" w:cs="Times New Roman"/>
          <w:sz w:val="28"/>
          <w:szCs w:val="28"/>
        </w:rPr>
        <w:t xml:space="preserve"> в сфере страхования жизни</w:t>
      </w:r>
      <w:r w:rsidRPr="005D7C3A">
        <w:rPr>
          <w:rFonts w:ascii="Times New Roman" w:hAnsi="Times New Roman" w:cs="Times New Roman"/>
          <w:sz w:val="28"/>
          <w:szCs w:val="28"/>
        </w:rPr>
        <w:t xml:space="preserve">. Центральный банк РФ отмечает устойчивый рост интереса к отечественным страховым продуктам с инвестиционной составляющей. В условиях инфляционного давления и снижения доходности традиционных депозитов гибридные страховые решения становятся объективной альтернативой для сохранения и приумножения сбережений. </w:t>
      </w:r>
    </w:p>
    <w:p w:rsidR="005D7C3A" w:rsidRPr="005D7C3A" w:rsidRDefault="005D7C3A" w:rsidP="00B92FAC">
      <w:pPr>
        <w:spacing w:line="360" w:lineRule="auto"/>
        <w:jc w:val="both"/>
        <w:rPr>
          <w:rFonts w:ascii="Times New Roman" w:hAnsi="Times New Roman" w:cs="Times New Roman"/>
          <w:sz w:val="28"/>
          <w:szCs w:val="28"/>
        </w:rPr>
      </w:pPr>
      <w:r w:rsidRPr="005D7C3A">
        <w:rPr>
          <w:rFonts w:ascii="Times New Roman" w:hAnsi="Times New Roman" w:cs="Times New Roman"/>
          <w:sz w:val="28"/>
          <w:szCs w:val="28"/>
        </w:rPr>
        <w:lastRenderedPageBreak/>
        <w:t xml:space="preserve">Ключевой проблемой развития долевого страхования в России выступает исторически сложившееся недоверие к страховым </w:t>
      </w:r>
      <w:r>
        <w:rPr>
          <w:rFonts w:ascii="Times New Roman" w:hAnsi="Times New Roman" w:cs="Times New Roman"/>
          <w:sz w:val="28"/>
          <w:szCs w:val="28"/>
        </w:rPr>
        <w:t>продуктам</w:t>
      </w:r>
      <w:r w:rsidRPr="005D7C3A">
        <w:rPr>
          <w:rFonts w:ascii="Times New Roman" w:hAnsi="Times New Roman" w:cs="Times New Roman"/>
          <w:sz w:val="28"/>
          <w:szCs w:val="28"/>
        </w:rPr>
        <w:t>, подкреплённое случаями некорректного раскрытия информации о рисках. Отсутствие стандартизированных подходов к оценке эффективности инвестиционных стратегий страховщиков затрудняет для потребителей сравнение продуктов. Преодоление этих барьеров требует анализа как нормативной базы, так и рыночных практик.</w:t>
      </w:r>
    </w:p>
    <w:p w:rsidR="005D7C3A" w:rsidRPr="005D7C3A" w:rsidRDefault="005D7C3A" w:rsidP="00B92FAC">
      <w:pPr>
        <w:spacing w:line="360" w:lineRule="auto"/>
        <w:jc w:val="both"/>
        <w:rPr>
          <w:rFonts w:ascii="Times New Roman" w:hAnsi="Times New Roman" w:cs="Times New Roman"/>
          <w:sz w:val="28"/>
          <w:szCs w:val="28"/>
        </w:rPr>
      </w:pPr>
      <w:r w:rsidRPr="005D7C3A">
        <w:rPr>
          <w:rFonts w:ascii="Times New Roman" w:hAnsi="Times New Roman" w:cs="Times New Roman"/>
          <w:sz w:val="28"/>
          <w:szCs w:val="28"/>
        </w:rPr>
        <w:t xml:space="preserve">Целью настоящей работы выступает проведение комплексного анализа </w:t>
      </w:r>
      <w:r>
        <w:rPr>
          <w:rFonts w:ascii="Times New Roman" w:hAnsi="Times New Roman" w:cs="Times New Roman"/>
          <w:sz w:val="28"/>
          <w:szCs w:val="28"/>
        </w:rPr>
        <w:t>ДСЖ</w:t>
      </w:r>
      <w:r w:rsidRPr="005D7C3A">
        <w:rPr>
          <w:rFonts w:ascii="Times New Roman" w:hAnsi="Times New Roman" w:cs="Times New Roman"/>
          <w:sz w:val="28"/>
          <w:szCs w:val="28"/>
        </w:rPr>
        <w:t xml:space="preserve"> как многофункционального финансового инструмента в специфических условиях российского рынка. Исследование направлено на выявление его конкурентных преимуществ перед альтернативными накопительными продуктами, а также систематизацию нормативных и рыночных ограничений, сдерживающих его распространение. Особое внимание уделяется практическим аспектам интеграции данного инструмента в структуру личных финансов граждан.</w:t>
      </w:r>
    </w:p>
    <w:p w:rsidR="005D7C3A" w:rsidRPr="005D7C3A" w:rsidRDefault="005D7C3A" w:rsidP="00B92FAC">
      <w:pPr>
        <w:spacing w:line="360" w:lineRule="auto"/>
        <w:jc w:val="both"/>
        <w:rPr>
          <w:rFonts w:ascii="Times New Roman" w:hAnsi="Times New Roman" w:cs="Times New Roman"/>
          <w:sz w:val="28"/>
          <w:szCs w:val="28"/>
        </w:rPr>
      </w:pPr>
      <w:r w:rsidRPr="005D7C3A">
        <w:rPr>
          <w:rFonts w:ascii="Times New Roman" w:hAnsi="Times New Roman" w:cs="Times New Roman"/>
          <w:sz w:val="28"/>
          <w:szCs w:val="28"/>
        </w:rPr>
        <w:t>Достижение поставленной цели обеспечивается последовательным решением трёх взаимосвязанных задач: во-первых, анализом эволюции нормативно-правовой базы долевого страхования; во-вторых, сравнительной характеристикой продуктовых предложений российских страховщиков; в-третьих, разработкой рекомендаций по повышению прозрачности и привлекательности инструмента для различных категорий потребителей. Такой подход позволяет создать целостное представление о текущем состоянии и перспективах развития этого финансового решения.</w:t>
      </w:r>
    </w:p>
    <w:p w:rsidR="005D1C66" w:rsidRDefault="005D1C66" w:rsidP="00B92FAC">
      <w:pPr>
        <w:spacing w:line="360" w:lineRule="auto"/>
        <w:jc w:val="both"/>
        <w:rPr>
          <w:rFonts w:ascii="Times New Roman" w:hAnsi="Times New Roman" w:cs="Times New Roman"/>
          <w:sz w:val="28"/>
          <w:szCs w:val="28"/>
        </w:rPr>
      </w:pPr>
    </w:p>
    <w:p w:rsidR="00EF6365" w:rsidRDefault="00EF6365" w:rsidP="00B92FAC">
      <w:pPr>
        <w:spacing w:line="360" w:lineRule="auto"/>
        <w:jc w:val="both"/>
        <w:rPr>
          <w:rFonts w:ascii="Times New Roman" w:hAnsi="Times New Roman" w:cs="Times New Roman"/>
          <w:sz w:val="28"/>
          <w:szCs w:val="28"/>
        </w:rPr>
      </w:pPr>
    </w:p>
    <w:p w:rsidR="00EF6365" w:rsidRDefault="00EF6365" w:rsidP="00B92FAC">
      <w:pPr>
        <w:spacing w:line="360" w:lineRule="auto"/>
        <w:jc w:val="both"/>
        <w:rPr>
          <w:rFonts w:ascii="Times New Roman" w:hAnsi="Times New Roman" w:cs="Times New Roman"/>
          <w:sz w:val="28"/>
          <w:szCs w:val="28"/>
        </w:rPr>
      </w:pPr>
    </w:p>
    <w:p w:rsidR="00EF6365" w:rsidRDefault="00EF6365" w:rsidP="00B92FAC">
      <w:pPr>
        <w:spacing w:line="360" w:lineRule="auto"/>
        <w:jc w:val="both"/>
        <w:rPr>
          <w:rFonts w:ascii="Times New Roman" w:hAnsi="Times New Roman" w:cs="Times New Roman"/>
          <w:sz w:val="28"/>
          <w:szCs w:val="28"/>
        </w:rPr>
      </w:pPr>
    </w:p>
    <w:p w:rsidR="00EF6365" w:rsidRDefault="00EF6365" w:rsidP="00B92FAC">
      <w:pPr>
        <w:spacing w:line="360" w:lineRule="auto"/>
        <w:jc w:val="both"/>
        <w:rPr>
          <w:rFonts w:ascii="Times New Roman" w:hAnsi="Times New Roman" w:cs="Times New Roman"/>
          <w:sz w:val="28"/>
          <w:szCs w:val="28"/>
        </w:rPr>
      </w:pPr>
    </w:p>
    <w:p w:rsidR="00EF6365" w:rsidRPr="00EF6365" w:rsidRDefault="00EF6365" w:rsidP="00B92FAC">
      <w:pPr>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Нормативно-правовая база инструмента</w:t>
      </w:r>
    </w:p>
    <w:p w:rsidR="00EF6365" w:rsidRPr="00EF6365" w:rsidRDefault="00EF6365" w:rsidP="00B92FAC">
      <w:pPr>
        <w:spacing w:line="360" w:lineRule="auto"/>
        <w:jc w:val="both"/>
        <w:rPr>
          <w:rFonts w:ascii="Times New Roman" w:hAnsi="Times New Roman" w:cs="Times New Roman"/>
          <w:sz w:val="28"/>
          <w:szCs w:val="28"/>
        </w:rPr>
      </w:pPr>
      <w:r w:rsidRPr="00EF6365">
        <w:rPr>
          <w:rFonts w:ascii="Times New Roman" w:hAnsi="Times New Roman" w:cs="Times New Roman"/>
          <w:sz w:val="28"/>
          <w:szCs w:val="28"/>
        </w:rPr>
        <w:t xml:space="preserve">Правовые основы договоров добровольного страхования жизни закреплены в Гражданском кодексе РФ (гл. 48) и Федеральном законе №4015-1 «Об организации страхового дела в Российской Федерации». Указанные нормативные акты определяют базовые принципы страхования, включая требования к субъектному составу и объектам страховой защиты. Законодательство устанавливает обязательное лицензирование деятельности страховщиков как необходимое условие правомерности операций. Специфика регулирования ДСЖ проявляется в дополнительных требованиях к финансовой устойчивости страховых организаций. «Страховщики, осуществляющие страхование жизни, должны иметь собственный капитал в размере не менее установленного норматива» (ст. 25 Закона «Об организации страхового дела»). Это обусловлено долгосрочным характером обязательств и необходимостью обеспечения гарантий исполнения договоров. Контроль за соблюдением нормативов </w:t>
      </w:r>
      <w:r w:rsidR="006273C4">
        <w:rPr>
          <w:rFonts w:ascii="Times New Roman" w:hAnsi="Times New Roman" w:cs="Times New Roman"/>
          <w:sz w:val="28"/>
          <w:szCs w:val="28"/>
        </w:rPr>
        <w:t xml:space="preserve">возложен на Банк России как </w:t>
      </w:r>
      <w:r w:rsidRPr="00EF6365">
        <w:rPr>
          <w:rFonts w:ascii="Times New Roman" w:hAnsi="Times New Roman" w:cs="Times New Roman"/>
          <w:sz w:val="28"/>
          <w:szCs w:val="28"/>
        </w:rPr>
        <w:t>регулятора финансового рынка.</w:t>
      </w:r>
    </w:p>
    <w:p w:rsidR="00EF6365" w:rsidRPr="005D7C3A" w:rsidRDefault="00EF6365" w:rsidP="00B92FAC">
      <w:pPr>
        <w:spacing w:line="360" w:lineRule="auto"/>
        <w:jc w:val="both"/>
        <w:rPr>
          <w:rFonts w:ascii="Times New Roman" w:hAnsi="Times New Roman" w:cs="Times New Roman"/>
          <w:sz w:val="28"/>
          <w:szCs w:val="28"/>
        </w:rPr>
      </w:pPr>
      <w:r w:rsidRPr="00EF6365">
        <w:rPr>
          <w:rFonts w:ascii="Times New Roman" w:hAnsi="Times New Roman" w:cs="Times New Roman"/>
          <w:sz w:val="28"/>
          <w:szCs w:val="28"/>
        </w:rPr>
        <w:t>Предмет договора ДСЖ определяется через категорию страхового риска, под которым понимается дожитие застрахованного лица до определённого возраста или наступления оговорённого события. Данная конструкция принципиально отличает ДСЖ от рисковых видов страхования, где объектом выступает возможность наступления негативного события. Особенностью является кумулятивный характер договора, сочетающий защитную и накопительную функции, что позволяет рассматривать его как инструмент долгосрочного сбережения.</w:t>
      </w:r>
    </w:p>
    <w:p w:rsidR="00EF6365" w:rsidRPr="00EF6365" w:rsidRDefault="00EF6365" w:rsidP="00B92FAC">
      <w:pPr>
        <w:spacing w:line="360" w:lineRule="auto"/>
        <w:jc w:val="both"/>
        <w:rPr>
          <w:rFonts w:ascii="Times New Roman" w:hAnsi="Times New Roman" w:cs="Times New Roman"/>
          <w:sz w:val="28"/>
          <w:szCs w:val="28"/>
        </w:rPr>
      </w:pPr>
      <w:r>
        <w:rPr>
          <w:rFonts w:ascii="Times New Roman" w:hAnsi="Times New Roman" w:cs="Times New Roman"/>
          <w:sz w:val="28"/>
          <w:szCs w:val="28"/>
        </w:rPr>
        <w:t>ДСЖ предусматривае</w:t>
      </w:r>
      <w:r w:rsidRPr="00EF6365">
        <w:rPr>
          <w:rFonts w:ascii="Times New Roman" w:hAnsi="Times New Roman" w:cs="Times New Roman"/>
          <w:sz w:val="28"/>
          <w:szCs w:val="28"/>
        </w:rPr>
        <w:t xml:space="preserve">т два типа налоговых вычетов: социальный (статья 219 НК РФ) и инвестиционный (статья 219.1 НК РФ). Социальный вычет распространяется на суммы страховых взносов, уплаченных по долгосрочным договорам, с установленным годовым лимитом в 120 000 рублей. Инвестиционный вычет позволяет вернуть 13% от внесенных средств при </w:t>
      </w:r>
      <w:r w:rsidRPr="00EF6365">
        <w:rPr>
          <w:rFonts w:ascii="Times New Roman" w:hAnsi="Times New Roman" w:cs="Times New Roman"/>
          <w:sz w:val="28"/>
          <w:szCs w:val="28"/>
        </w:rPr>
        <w:lastRenderedPageBreak/>
        <w:t>выполнении условий пятилетнего срока действия договора, с максимальной суммой взносов для расчета в 400 000 рублей ежегодно. Данные механизмы направлены на стимулирование долгосрочных сбережений населения. Среди социальных налоговых вычетов особое место занимают расходы на медицинские услуги. «Наиболее значимым среди социальных вычетов является налоговый вычет по расходам на лечение: в 2017–2020 гг. его доля составляла 51–55 %, в 2021 г. выросла до 59 %, а в абсолютном выражении сумма предоставленных вычетов за 5 лет увеличилась более чем в два раза». Эта динамика свидетельствует о возрастающей роли налоговых льгот как инструмента компенсации затрат на страхование жизни, интегрированное с медицинскими услугами.</w:t>
      </w:r>
    </w:p>
    <w:p w:rsidR="005D1C66" w:rsidRDefault="00EF6365" w:rsidP="00B92FAC">
      <w:pPr>
        <w:spacing w:line="360" w:lineRule="auto"/>
        <w:jc w:val="both"/>
        <w:rPr>
          <w:rFonts w:ascii="Times New Roman" w:hAnsi="Times New Roman" w:cs="Times New Roman"/>
          <w:sz w:val="28"/>
          <w:szCs w:val="28"/>
        </w:rPr>
      </w:pPr>
      <w:r w:rsidRPr="00EF6365">
        <w:rPr>
          <w:rFonts w:ascii="Times New Roman" w:hAnsi="Times New Roman" w:cs="Times New Roman"/>
          <w:sz w:val="28"/>
          <w:szCs w:val="28"/>
        </w:rPr>
        <w:t>Получение налоговых вычетов по ДСЖ требует соблюдения ряда условий. Договор страхования должен действовать не менее пяти лет, а взносы необходимо уплачивать непрерывно в течение всего срока. Для инвестиционного вычета дополнительным требованием выступает отсутствие расторжения договора до истечения пятилетнего периода. Нарушение данных условий влечет утрату права на возврат НДФЛ и необходимость возврата ранее полученных сумм в бюджет. Дополнительные ограничения касаются совокупного дохода налогоплательщика и взаимодействия с другими видами вычетов. Социальный налоговый вычет по ДСЖ не может превышать уплаченный за год НДФЛ и не суммируется с иными социальными вычетами в пределах общего лимита. Для оформления льготы требуется предоставление в налоговые органы договора страхования, платежных документов и декларации 3-НДФЛ. Соблюдение этих требований обеспечивает правомерность применения налоговых преимуществ.</w:t>
      </w:r>
    </w:p>
    <w:p w:rsidR="00EF6365" w:rsidRPr="00EF6365" w:rsidRDefault="00EF6365" w:rsidP="00B92FAC">
      <w:pPr>
        <w:spacing w:line="360" w:lineRule="auto"/>
        <w:jc w:val="both"/>
        <w:rPr>
          <w:rFonts w:ascii="Times New Roman" w:hAnsi="Times New Roman" w:cs="Times New Roman"/>
          <w:sz w:val="28"/>
          <w:szCs w:val="28"/>
        </w:rPr>
      </w:pPr>
      <w:r w:rsidRPr="00EF6365">
        <w:rPr>
          <w:rFonts w:ascii="Times New Roman" w:hAnsi="Times New Roman" w:cs="Times New Roman"/>
          <w:sz w:val="28"/>
          <w:szCs w:val="28"/>
        </w:rPr>
        <w:t xml:space="preserve">Федеральный закон № 4015-1 «О страховании» устанавливает правовые гарантии защиты страховых резервов по договорам ДСЖ от взысканий по обязательствам страхователя. Статья 18.1 закона прямо указывает, что «страховые резервы, сформированные страховщиком, не подлежат изъятию в </w:t>
      </w:r>
      <w:r w:rsidRPr="00EF6365">
        <w:rPr>
          <w:rFonts w:ascii="Times New Roman" w:hAnsi="Times New Roman" w:cs="Times New Roman"/>
          <w:sz w:val="28"/>
          <w:szCs w:val="28"/>
        </w:rPr>
        <w:lastRenderedPageBreak/>
        <w:t>счёт погашения долгов страхователя». Данная норма создаёт правовой барьер, предотвращающий обращение взыскания кредиторов на страховые активы. Таким образом, законодатель выделяет ДСЖ в особую категорию финансовых инструментов с усиленной защитой активов. Механизм защиты страховых сумм основан на их обособленном учёте и запрете на включение в конкурсную массу при банкротстве страхователя. Имущественный характер страхового обязательства исключает возможность обращения взыскания на резервы по личным долгам клиента. Это принципиальное отличие ДСЖ от стандартных инвестиционных продуктов, где активы могут быть арестованы в рамках исполнительного производства. Судебная практика последовательно подтверждает неприкосновенность страховых сумм при рассмотрении исков кредиторов.</w:t>
      </w:r>
    </w:p>
    <w:p w:rsidR="00EF6365" w:rsidRPr="00EF6365" w:rsidRDefault="00EF6365" w:rsidP="00B92FAC">
      <w:pPr>
        <w:spacing w:line="360" w:lineRule="auto"/>
        <w:jc w:val="both"/>
        <w:rPr>
          <w:rFonts w:ascii="Times New Roman" w:hAnsi="Times New Roman" w:cs="Times New Roman"/>
          <w:sz w:val="28"/>
          <w:szCs w:val="28"/>
        </w:rPr>
      </w:pPr>
      <w:r w:rsidRPr="00EF6365">
        <w:rPr>
          <w:rFonts w:ascii="Times New Roman" w:hAnsi="Times New Roman" w:cs="Times New Roman"/>
          <w:sz w:val="28"/>
          <w:szCs w:val="28"/>
        </w:rPr>
        <w:t>Исключения из общего правила защиты страховых сумм предусмотрены для трёх категорий требований: невыплаченных алиментов, возмещения вреда жизни или здоровью, а также требований самого выгодоприобретателя по договору. Данные исключения закреплены в статье 1019 Гражданского кодекса РФ и статье 18.1 Закона № 4015-1. Судебные органы допускают обращение взыскания на страховые выплаты только при наличии прямых оснований, перечисленных в законодательстве. Анализ арбитражной практики показывает, что требования кредиторов, не связанные с указанными исключениями, остаются без удовлетворения.</w:t>
      </w:r>
    </w:p>
    <w:p w:rsidR="00EF6365" w:rsidRDefault="00EF6365" w:rsidP="00B92FAC">
      <w:pPr>
        <w:spacing w:line="360" w:lineRule="auto"/>
        <w:jc w:val="both"/>
        <w:rPr>
          <w:rFonts w:ascii="Times New Roman" w:hAnsi="Times New Roman" w:cs="Times New Roman"/>
          <w:sz w:val="28"/>
          <w:szCs w:val="28"/>
        </w:rPr>
      </w:pPr>
      <w:r w:rsidRPr="00EF6365">
        <w:rPr>
          <w:rFonts w:ascii="Times New Roman" w:hAnsi="Times New Roman" w:cs="Times New Roman"/>
          <w:sz w:val="28"/>
          <w:szCs w:val="28"/>
        </w:rPr>
        <w:t xml:space="preserve">Юридическая защита страховых сумм действует при соблюдении двух ключевых условий: соответствия страховых взносов установленным лимитам и минимального срока действия договора. Согласно статье 219 Налогового кодекса РФ, предельный размер взносов для получения налоговых вычетов составляет 120 000 рублей ежегодно, что косвенно влияет на объём защищаемых активов. Одновременно договор ДСЖ должен действовать не менее пяти лет для сохранения правового режима неприкосновенности. </w:t>
      </w:r>
      <w:r w:rsidRPr="00EF6365">
        <w:rPr>
          <w:rFonts w:ascii="Times New Roman" w:hAnsi="Times New Roman" w:cs="Times New Roman"/>
          <w:sz w:val="28"/>
          <w:szCs w:val="28"/>
        </w:rPr>
        <w:lastRenderedPageBreak/>
        <w:t>Нарушение данных условий может привести к утрате специального правового статуса страховых резервов.</w:t>
      </w:r>
    </w:p>
    <w:p w:rsidR="001E7077" w:rsidRDefault="001E7077" w:rsidP="00B92FAC">
      <w:pPr>
        <w:spacing w:line="360" w:lineRule="auto"/>
        <w:jc w:val="both"/>
        <w:rPr>
          <w:rFonts w:ascii="Times New Roman" w:hAnsi="Times New Roman" w:cs="Times New Roman"/>
          <w:sz w:val="28"/>
          <w:szCs w:val="28"/>
        </w:rPr>
      </w:pPr>
    </w:p>
    <w:p w:rsidR="001E7077" w:rsidRPr="001E7077" w:rsidRDefault="001E7077" w:rsidP="00B92FAC">
      <w:pPr>
        <w:spacing w:line="360" w:lineRule="auto"/>
        <w:jc w:val="both"/>
        <w:rPr>
          <w:rFonts w:ascii="Times New Roman" w:hAnsi="Times New Roman" w:cs="Times New Roman"/>
          <w:b/>
          <w:sz w:val="28"/>
          <w:szCs w:val="28"/>
        </w:rPr>
      </w:pPr>
      <w:r>
        <w:rPr>
          <w:rFonts w:ascii="Times New Roman" w:hAnsi="Times New Roman" w:cs="Times New Roman"/>
          <w:b/>
          <w:sz w:val="28"/>
          <w:szCs w:val="28"/>
        </w:rPr>
        <w:t>Сравнение с иными инструментами</w:t>
      </w:r>
    </w:p>
    <w:p w:rsidR="001E7077" w:rsidRPr="001E7077" w:rsidRDefault="001E7077" w:rsidP="00B92FAC">
      <w:pPr>
        <w:spacing w:line="360" w:lineRule="auto"/>
        <w:jc w:val="both"/>
        <w:rPr>
          <w:rFonts w:ascii="Times New Roman" w:hAnsi="Times New Roman" w:cs="Times New Roman"/>
          <w:sz w:val="28"/>
          <w:szCs w:val="28"/>
        </w:rPr>
      </w:pPr>
      <w:r w:rsidRPr="001E7077">
        <w:rPr>
          <w:rFonts w:ascii="Times New Roman" w:hAnsi="Times New Roman" w:cs="Times New Roman"/>
          <w:sz w:val="28"/>
          <w:szCs w:val="28"/>
        </w:rPr>
        <w:t xml:space="preserve">Налоговые вычеты по договорам ДСЖ регулируются статьей 219 Налогового кодекса РФ, предусматривающей возврат 13% от уплаченных взносов в пределах лимита 120 тысяч рублей ежегодно. Для </w:t>
      </w:r>
      <w:r>
        <w:rPr>
          <w:rFonts w:ascii="Times New Roman" w:hAnsi="Times New Roman" w:cs="Times New Roman"/>
          <w:sz w:val="28"/>
          <w:szCs w:val="28"/>
        </w:rPr>
        <w:t>накоплений в негосударственных пенсионных фондах (</w:t>
      </w:r>
      <w:r w:rsidRPr="001E7077">
        <w:rPr>
          <w:rFonts w:ascii="Times New Roman" w:hAnsi="Times New Roman" w:cs="Times New Roman"/>
          <w:sz w:val="28"/>
          <w:szCs w:val="28"/>
        </w:rPr>
        <w:t>НПФ</w:t>
      </w:r>
      <w:r>
        <w:rPr>
          <w:rFonts w:ascii="Times New Roman" w:hAnsi="Times New Roman" w:cs="Times New Roman"/>
          <w:sz w:val="28"/>
          <w:szCs w:val="28"/>
        </w:rPr>
        <w:t xml:space="preserve">) </w:t>
      </w:r>
      <w:r w:rsidRPr="001E7077">
        <w:rPr>
          <w:rFonts w:ascii="Times New Roman" w:hAnsi="Times New Roman" w:cs="Times New Roman"/>
          <w:sz w:val="28"/>
          <w:szCs w:val="28"/>
        </w:rPr>
        <w:t xml:space="preserve">действует аналогичная ставка вычета, однако максимальная сумма взносов увеличена до 400 тысяч рублей в год. </w:t>
      </w:r>
      <w:r>
        <w:rPr>
          <w:rFonts w:ascii="Times New Roman" w:hAnsi="Times New Roman" w:cs="Times New Roman"/>
          <w:sz w:val="28"/>
          <w:szCs w:val="28"/>
        </w:rPr>
        <w:t>Индивидуальный инвестиционный счет (</w:t>
      </w:r>
      <w:r w:rsidRPr="001E7077">
        <w:rPr>
          <w:rFonts w:ascii="Times New Roman" w:hAnsi="Times New Roman" w:cs="Times New Roman"/>
          <w:sz w:val="28"/>
          <w:szCs w:val="28"/>
        </w:rPr>
        <w:t>ИИС</w:t>
      </w:r>
      <w:r>
        <w:rPr>
          <w:rFonts w:ascii="Times New Roman" w:hAnsi="Times New Roman" w:cs="Times New Roman"/>
          <w:sz w:val="28"/>
          <w:szCs w:val="28"/>
        </w:rPr>
        <w:t>)</w:t>
      </w:r>
      <w:r w:rsidRPr="001E7077">
        <w:rPr>
          <w:rFonts w:ascii="Times New Roman" w:hAnsi="Times New Roman" w:cs="Times New Roman"/>
          <w:sz w:val="28"/>
          <w:szCs w:val="28"/>
        </w:rPr>
        <w:t xml:space="preserve"> предлагает два типа налоговых преимуществ: вычет типа А (13% от суммы пополнения) и типа Б (освобождение от налога на доход). </w:t>
      </w:r>
      <w:r>
        <w:rPr>
          <w:rFonts w:ascii="Times New Roman" w:hAnsi="Times New Roman" w:cs="Times New Roman"/>
          <w:sz w:val="28"/>
          <w:szCs w:val="28"/>
        </w:rPr>
        <w:t>Программы долгосрочных</w:t>
      </w:r>
      <w:r w:rsidRPr="001E7077">
        <w:rPr>
          <w:rFonts w:ascii="Times New Roman" w:hAnsi="Times New Roman" w:cs="Times New Roman"/>
          <w:sz w:val="28"/>
          <w:szCs w:val="28"/>
        </w:rPr>
        <w:t xml:space="preserve"> </w:t>
      </w:r>
      <w:r>
        <w:rPr>
          <w:rFonts w:ascii="Times New Roman" w:hAnsi="Times New Roman" w:cs="Times New Roman"/>
          <w:sz w:val="28"/>
          <w:szCs w:val="28"/>
        </w:rPr>
        <w:t xml:space="preserve">сбережений </w:t>
      </w:r>
      <w:r w:rsidRPr="001E7077">
        <w:rPr>
          <w:rFonts w:ascii="Times New Roman" w:hAnsi="Times New Roman" w:cs="Times New Roman"/>
          <w:sz w:val="28"/>
          <w:szCs w:val="28"/>
        </w:rPr>
        <w:t xml:space="preserve">(ПДС) предоставляют вычеты по тем же правилам, что и НПФ, но с дополнительным ограничением в 15% от годового дохода. Законодательные условия получения льгот существенно различаются: для ДСЖ и ПДС обязателен минимальный срок действия договора — 5 лет, тогда как ИИС требует трехлетнего периода владения счетом. Налоговые вычеты по НПФ доступны только при перечислении взносов работодателем или самим застрахованным лицом. «Инвестиционные стратегии ИИС предполагают более высокий потенциальный доход, но сопряжены с рыночными рисками, отсутствующими в страховых продуктах». </w:t>
      </w:r>
      <w:proofErr w:type="spellStart"/>
      <w:r w:rsidRPr="001E7077">
        <w:rPr>
          <w:rFonts w:ascii="Times New Roman" w:hAnsi="Times New Roman" w:cs="Times New Roman"/>
          <w:sz w:val="28"/>
          <w:szCs w:val="28"/>
        </w:rPr>
        <w:t>Лимитирование</w:t>
      </w:r>
      <w:proofErr w:type="spellEnd"/>
      <w:r w:rsidRPr="001E7077">
        <w:rPr>
          <w:rFonts w:ascii="Times New Roman" w:hAnsi="Times New Roman" w:cs="Times New Roman"/>
          <w:sz w:val="28"/>
          <w:szCs w:val="28"/>
        </w:rPr>
        <w:t xml:space="preserve"> сумм вычетов направлено на баланс фискальных интересов государства и стимулирования долгосрочных сбережений.</w:t>
      </w:r>
    </w:p>
    <w:p w:rsidR="001E7077" w:rsidRPr="001E7077" w:rsidRDefault="001E7077" w:rsidP="00B92FAC">
      <w:pPr>
        <w:spacing w:line="360" w:lineRule="auto"/>
        <w:jc w:val="both"/>
        <w:rPr>
          <w:rFonts w:ascii="Times New Roman" w:hAnsi="Times New Roman" w:cs="Times New Roman"/>
          <w:sz w:val="28"/>
          <w:szCs w:val="28"/>
        </w:rPr>
      </w:pPr>
      <w:r w:rsidRPr="001E7077">
        <w:rPr>
          <w:rFonts w:ascii="Times New Roman" w:hAnsi="Times New Roman" w:cs="Times New Roman"/>
          <w:sz w:val="28"/>
          <w:szCs w:val="28"/>
        </w:rPr>
        <w:t xml:space="preserve">Юридическая защита средств демонстрирует значительные различия: страховые суммы по ДСЖ в соответствии со статьей 1015 Гражданского кодекса РФ недоступны для взыскания кредиторами. Накопления в НПФ защищены Федеральным законом №75-ФЗ от 07.05.1998, исключающим их из конкурсной массы при банкротстве. Средства ИИС обладают иммунитетом от претензий третьих лиц, кроме обязательств по возмещению </w:t>
      </w:r>
      <w:r w:rsidR="009C633E">
        <w:rPr>
          <w:rFonts w:ascii="Times New Roman" w:hAnsi="Times New Roman" w:cs="Times New Roman"/>
          <w:sz w:val="28"/>
          <w:szCs w:val="28"/>
        </w:rPr>
        <w:t>ущерба.</w:t>
      </w:r>
    </w:p>
    <w:p w:rsidR="001E7077" w:rsidRDefault="001E7077" w:rsidP="00B92FAC">
      <w:pPr>
        <w:spacing w:line="360" w:lineRule="auto"/>
        <w:jc w:val="both"/>
        <w:rPr>
          <w:rFonts w:ascii="Times New Roman" w:hAnsi="Times New Roman" w:cs="Times New Roman"/>
          <w:sz w:val="28"/>
          <w:szCs w:val="28"/>
        </w:rPr>
      </w:pPr>
      <w:r w:rsidRPr="001E7077">
        <w:rPr>
          <w:rFonts w:ascii="Times New Roman" w:hAnsi="Times New Roman" w:cs="Times New Roman"/>
          <w:sz w:val="28"/>
          <w:szCs w:val="28"/>
        </w:rPr>
        <w:lastRenderedPageBreak/>
        <w:t>Гибкость использования средств варьируется в зависимости от инструмента: ДСЖ предусматривает выплаты только при дожитии или наступлении оговоренных событий после пятилетнего срока. НПФ разрешают частичное снятие накоплений при достижении пенсионного возраста или в исключительных обстоятельствах. Владельцы ИИС могут свободно распоряжаться активами после трех лет, однако досрочное закрытие счета влечет потерю налоговых льгот. ПДС сочетают долгосрочную накопительную функцию с привязкой выплат к пенсионному возрасту, ограничивая возможности досрочного изъятия средств.</w:t>
      </w:r>
    </w:p>
    <w:p w:rsidR="00E2729A" w:rsidRDefault="00E2729A" w:rsidP="00B92FAC">
      <w:pPr>
        <w:spacing w:line="360" w:lineRule="auto"/>
        <w:jc w:val="both"/>
        <w:rPr>
          <w:rFonts w:ascii="Times New Roman" w:hAnsi="Times New Roman" w:cs="Times New Roman"/>
          <w:sz w:val="28"/>
          <w:szCs w:val="28"/>
        </w:rPr>
      </w:pPr>
    </w:p>
    <w:p w:rsidR="00E2729A" w:rsidRDefault="00E2729A" w:rsidP="00B92FAC">
      <w:pPr>
        <w:spacing w:line="360" w:lineRule="auto"/>
        <w:jc w:val="both"/>
        <w:rPr>
          <w:rFonts w:ascii="Times New Roman" w:hAnsi="Times New Roman" w:cs="Times New Roman"/>
          <w:b/>
          <w:sz w:val="28"/>
          <w:szCs w:val="28"/>
        </w:rPr>
      </w:pPr>
      <w:r>
        <w:rPr>
          <w:rFonts w:ascii="Times New Roman" w:hAnsi="Times New Roman" w:cs="Times New Roman"/>
          <w:b/>
          <w:sz w:val="28"/>
          <w:szCs w:val="28"/>
        </w:rPr>
        <w:t>Зарубежный рынок</w:t>
      </w:r>
    </w:p>
    <w:p w:rsidR="00E2729A" w:rsidRPr="00E2729A" w:rsidRDefault="00E2729A" w:rsidP="00B92FA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Контракт ДСЖ, разработанный в России относительно недавно, по своей структуре выступает аналогом устоявшегося </w:t>
      </w:r>
      <w:r w:rsidRPr="00E2729A">
        <w:rPr>
          <w:rFonts w:ascii="Times New Roman" w:hAnsi="Times New Roman" w:cs="Times New Roman"/>
          <w:sz w:val="28"/>
          <w:szCs w:val="28"/>
          <w:lang w:val="en-US"/>
        </w:rPr>
        <w:t>unit</w:t>
      </w:r>
      <w:r w:rsidRPr="00E2729A">
        <w:rPr>
          <w:rFonts w:ascii="Times New Roman" w:hAnsi="Times New Roman" w:cs="Times New Roman"/>
          <w:sz w:val="28"/>
          <w:szCs w:val="28"/>
        </w:rPr>
        <w:t>-</w:t>
      </w:r>
      <w:r w:rsidRPr="00E2729A">
        <w:rPr>
          <w:rFonts w:ascii="Times New Roman" w:hAnsi="Times New Roman" w:cs="Times New Roman"/>
          <w:sz w:val="28"/>
          <w:szCs w:val="28"/>
          <w:lang w:val="en-US"/>
        </w:rPr>
        <w:t>linked</w:t>
      </w:r>
      <w:r w:rsidRPr="00E2729A">
        <w:rPr>
          <w:rFonts w:ascii="Times New Roman" w:hAnsi="Times New Roman" w:cs="Times New Roman"/>
          <w:sz w:val="28"/>
          <w:szCs w:val="28"/>
        </w:rPr>
        <w:t xml:space="preserve"> </w:t>
      </w:r>
      <w:r>
        <w:rPr>
          <w:rFonts w:ascii="Times New Roman" w:hAnsi="Times New Roman" w:cs="Times New Roman"/>
          <w:sz w:val="28"/>
          <w:szCs w:val="28"/>
          <w:lang w:val="en-US"/>
        </w:rPr>
        <w:t>life</w:t>
      </w:r>
      <w:r w:rsidRPr="00E2729A">
        <w:rPr>
          <w:rFonts w:ascii="Times New Roman" w:hAnsi="Times New Roman" w:cs="Times New Roman"/>
          <w:sz w:val="28"/>
          <w:szCs w:val="28"/>
        </w:rPr>
        <w:t xml:space="preserve"> </w:t>
      </w:r>
      <w:r>
        <w:rPr>
          <w:rFonts w:ascii="Times New Roman" w:hAnsi="Times New Roman" w:cs="Times New Roman"/>
          <w:sz w:val="28"/>
          <w:szCs w:val="28"/>
          <w:lang w:val="en-US"/>
        </w:rPr>
        <w:t>insurance</w:t>
      </w:r>
      <w:r w:rsidRPr="00E2729A">
        <w:rPr>
          <w:rFonts w:ascii="Times New Roman" w:hAnsi="Times New Roman" w:cs="Times New Roman"/>
          <w:sz w:val="28"/>
          <w:szCs w:val="28"/>
        </w:rPr>
        <w:t xml:space="preserve"> </w:t>
      </w:r>
      <w:r>
        <w:rPr>
          <w:rFonts w:ascii="Times New Roman" w:hAnsi="Times New Roman" w:cs="Times New Roman"/>
          <w:sz w:val="28"/>
          <w:szCs w:val="28"/>
        </w:rPr>
        <w:t xml:space="preserve">иностранного инструмента. </w:t>
      </w:r>
      <w:r w:rsidRPr="00E2729A">
        <w:rPr>
          <w:rFonts w:ascii="Times New Roman" w:hAnsi="Times New Roman" w:cs="Times New Roman"/>
          <w:sz w:val="28"/>
          <w:szCs w:val="28"/>
        </w:rPr>
        <w:t xml:space="preserve">Мировой рынок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w:t>
      </w:r>
      <w:r>
        <w:rPr>
          <w:rFonts w:ascii="Times New Roman" w:hAnsi="Times New Roman" w:cs="Times New Roman"/>
          <w:sz w:val="28"/>
          <w:szCs w:val="28"/>
        </w:rPr>
        <w:t xml:space="preserve">страхования </w:t>
      </w:r>
      <w:r w:rsidRPr="00E2729A">
        <w:rPr>
          <w:rFonts w:ascii="Times New Roman" w:hAnsi="Times New Roman" w:cs="Times New Roman"/>
          <w:sz w:val="28"/>
          <w:szCs w:val="28"/>
        </w:rPr>
        <w:t xml:space="preserve">характеризуется доминированием крупных международных страховых групп. Европейские компании, такие как </w:t>
      </w:r>
      <w:proofErr w:type="spellStart"/>
      <w:r w:rsidRPr="00E2729A">
        <w:rPr>
          <w:rFonts w:ascii="Times New Roman" w:hAnsi="Times New Roman" w:cs="Times New Roman"/>
          <w:sz w:val="28"/>
          <w:szCs w:val="28"/>
        </w:rPr>
        <w:t>Allianz</w:t>
      </w:r>
      <w:proofErr w:type="spellEnd"/>
      <w:r w:rsidRPr="00E2729A">
        <w:rPr>
          <w:rFonts w:ascii="Times New Roman" w:hAnsi="Times New Roman" w:cs="Times New Roman"/>
          <w:sz w:val="28"/>
          <w:szCs w:val="28"/>
        </w:rPr>
        <w:t xml:space="preserve">, AXA и </w:t>
      </w:r>
      <w:proofErr w:type="spellStart"/>
      <w:r w:rsidRPr="00E2729A">
        <w:rPr>
          <w:rFonts w:ascii="Times New Roman" w:hAnsi="Times New Roman" w:cs="Times New Roman"/>
          <w:sz w:val="28"/>
          <w:szCs w:val="28"/>
        </w:rPr>
        <w:t>Generali</w:t>
      </w:r>
      <w:proofErr w:type="spellEnd"/>
      <w:r w:rsidRPr="00E2729A">
        <w:rPr>
          <w:rFonts w:ascii="Times New Roman" w:hAnsi="Times New Roman" w:cs="Times New Roman"/>
          <w:sz w:val="28"/>
          <w:szCs w:val="28"/>
        </w:rPr>
        <w:t xml:space="preserve">, занимают лидирующие позиции благодаря диверсифицированным портфелям и глобальному присутствию. Североамериканский сегмент представлен такими игроками как </w:t>
      </w:r>
      <w:proofErr w:type="spellStart"/>
      <w:r w:rsidRPr="00E2729A">
        <w:rPr>
          <w:rFonts w:ascii="Times New Roman" w:hAnsi="Times New Roman" w:cs="Times New Roman"/>
          <w:sz w:val="28"/>
          <w:szCs w:val="28"/>
        </w:rPr>
        <w:t>Prudential</w:t>
      </w:r>
      <w:proofErr w:type="spellEnd"/>
      <w:r w:rsidRPr="00E2729A">
        <w:rPr>
          <w:rFonts w:ascii="Times New Roman" w:hAnsi="Times New Roman" w:cs="Times New Roman"/>
          <w:sz w:val="28"/>
          <w:szCs w:val="28"/>
        </w:rPr>
        <w:t xml:space="preserve"> </w:t>
      </w:r>
      <w:proofErr w:type="spellStart"/>
      <w:r w:rsidRPr="00E2729A">
        <w:rPr>
          <w:rFonts w:ascii="Times New Roman" w:hAnsi="Times New Roman" w:cs="Times New Roman"/>
          <w:sz w:val="28"/>
          <w:szCs w:val="28"/>
        </w:rPr>
        <w:t>Financial</w:t>
      </w:r>
      <w:proofErr w:type="spellEnd"/>
      <w:r w:rsidRPr="00E2729A">
        <w:rPr>
          <w:rFonts w:ascii="Times New Roman" w:hAnsi="Times New Roman" w:cs="Times New Roman"/>
          <w:sz w:val="28"/>
          <w:szCs w:val="28"/>
        </w:rPr>
        <w:t xml:space="preserve"> и </w:t>
      </w:r>
      <w:proofErr w:type="spellStart"/>
      <w:r w:rsidRPr="00E2729A">
        <w:rPr>
          <w:rFonts w:ascii="Times New Roman" w:hAnsi="Times New Roman" w:cs="Times New Roman"/>
          <w:sz w:val="28"/>
          <w:szCs w:val="28"/>
        </w:rPr>
        <w:t>Manulife</w:t>
      </w:r>
      <w:proofErr w:type="spellEnd"/>
      <w:r w:rsidRPr="00E2729A">
        <w:rPr>
          <w:rFonts w:ascii="Times New Roman" w:hAnsi="Times New Roman" w:cs="Times New Roman"/>
          <w:sz w:val="28"/>
          <w:szCs w:val="28"/>
        </w:rPr>
        <w:t xml:space="preserve">, активно расширяющими своё влияние в Азиатско-Тихоокеанском регионе. Азиатские рынки демонстрируют рост за счет местных компаний типа </w:t>
      </w:r>
      <w:proofErr w:type="spellStart"/>
      <w:r w:rsidRPr="00E2729A">
        <w:rPr>
          <w:rFonts w:ascii="Times New Roman" w:hAnsi="Times New Roman" w:cs="Times New Roman"/>
          <w:sz w:val="28"/>
          <w:szCs w:val="28"/>
        </w:rPr>
        <w:t>Ping</w:t>
      </w:r>
      <w:proofErr w:type="spellEnd"/>
      <w:r w:rsidRPr="00E2729A">
        <w:rPr>
          <w:rFonts w:ascii="Times New Roman" w:hAnsi="Times New Roman" w:cs="Times New Roman"/>
          <w:sz w:val="28"/>
          <w:szCs w:val="28"/>
        </w:rPr>
        <w:t xml:space="preserve"> </w:t>
      </w:r>
      <w:proofErr w:type="spellStart"/>
      <w:r w:rsidRPr="00E2729A">
        <w:rPr>
          <w:rFonts w:ascii="Times New Roman" w:hAnsi="Times New Roman" w:cs="Times New Roman"/>
          <w:sz w:val="28"/>
          <w:szCs w:val="28"/>
        </w:rPr>
        <w:t>An</w:t>
      </w:r>
      <w:proofErr w:type="spellEnd"/>
      <w:r w:rsidRPr="00E2729A">
        <w:rPr>
          <w:rFonts w:ascii="Times New Roman" w:hAnsi="Times New Roman" w:cs="Times New Roman"/>
          <w:sz w:val="28"/>
          <w:szCs w:val="28"/>
        </w:rPr>
        <w:t xml:space="preserve"> </w:t>
      </w:r>
      <w:proofErr w:type="spellStart"/>
      <w:r w:rsidRPr="00E2729A">
        <w:rPr>
          <w:rFonts w:ascii="Times New Roman" w:hAnsi="Times New Roman" w:cs="Times New Roman"/>
          <w:sz w:val="28"/>
          <w:szCs w:val="28"/>
        </w:rPr>
        <w:t>Insurance</w:t>
      </w:r>
      <w:proofErr w:type="spellEnd"/>
      <w:r w:rsidRPr="00E2729A">
        <w:rPr>
          <w:rFonts w:ascii="Times New Roman" w:hAnsi="Times New Roman" w:cs="Times New Roman"/>
          <w:sz w:val="28"/>
          <w:szCs w:val="28"/>
        </w:rPr>
        <w:t xml:space="preserve">, сочетающих традиционные модели с инновационными подходами. Стратегии экспансии ключевых игроков включают масштабные инвестиции в инфраструктурные проекты. «Так, французская AXA в 2020 году вложила более 1 млрд евро в строительство автомагистралей и железных дорог в Европе и Азии. В свою очередь, немецкий страховщик </w:t>
      </w:r>
      <w:proofErr w:type="spellStart"/>
      <w:r w:rsidRPr="00E2729A">
        <w:rPr>
          <w:rFonts w:ascii="Times New Roman" w:hAnsi="Times New Roman" w:cs="Times New Roman"/>
          <w:sz w:val="28"/>
          <w:szCs w:val="28"/>
        </w:rPr>
        <w:t>Allianz</w:t>
      </w:r>
      <w:proofErr w:type="spellEnd"/>
      <w:r w:rsidRPr="00E2729A">
        <w:rPr>
          <w:rFonts w:ascii="Times New Roman" w:hAnsi="Times New Roman" w:cs="Times New Roman"/>
          <w:sz w:val="28"/>
          <w:szCs w:val="28"/>
        </w:rPr>
        <w:t xml:space="preserve"> инвестировал 600 млн евро в модернизацию аэропортов в Бразилии и Индии». Эти инвестиции позволяют диверсифицировать риски и повышать долгосрочную доходность портфелей. Конкурентная среда стимулирует развитие цифровых </w:t>
      </w:r>
      <w:r w:rsidRPr="00E2729A">
        <w:rPr>
          <w:rFonts w:ascii="Times New Roman" w:hAnsi="Times New Roman" w:cs="Times New Roman"/>
          <w:sz w:val="28"/>
          <w:szCs w:val="28"/>
        </w:rPr>
        <w:lastRenderedPageBreak/>
        <w:t xml:space="preserve">платформ и партнерств с </w:t>
      </w:r>
      <w:proofErr w:type="spellStart"/>
      <w:r w:rsidRPr="00E2729A">
        <w:rPr>
          <w:rFonts w:ascii="Times New Roman" w:hAnsi="Times New Roman" w:cs="Times New Roman"/>
          <w:sz w:val="28"/>
          <w:szCs w:val="28"/>
        </w:rPr>
        <w:t>финтех</w:t>
      </w:r>
      <w:proofErr w:type="spellEnd"/>
      <w:r w:rsidRPr="00E2729A">
        <w:rPr>
          <w:rFonts w:ascii="Times New Roman" w:hAnsi="Times New Roman" w:cs="Times New Roman"/>
          <w:sz w:val="28"/>
          <w:szCs w:val="28"/>
        </w:rPr>
        <w:t xml:space="preserve">-компаниями. Крупные игроки увеличивают долю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продуктов в структуре премий, достигая 40-60% в некоторых юрисдикциях. Стратегическая переориентация на </w:t>
      </w:r>
      <w:proofErr w:type="spellStart"/>
      <w:r w:rsidRPr="00E2729A">
        <w:rPr>
          <w:rFonts w:ascii="Times New Roman" w:hAnsi="Times New Roman" w:cs="Times New Roman"/>
          <w:sz w:val="28"/>
          <w:szCs w:val="28"/>
        </w:rPr>
        <w:t>клиентоцентричные</w:t>
      </w:r>
      <w:proofErr w:type="spellEnd"/>
      <w:r w:rsidRPr="00E2729A">
        <w:rPr>
          <w:rFonts w:ascii="Times New Roman" w:hAnsi="Times New Roman" w:cs="Times New Roman"/>
          <w:sz w:val="28"/>
          <w:szCs w:val="28"/>
        </w:rPr>
        <w:t xml:space="preserve"> модели способствует притоку новых сегментов инвесторов. Это создает предпосылки для дальнейшей консолидации рынка и роста трансграничных операций.</w:t>
      </w:r>
    </w:p>
    <w:p w:rsidR="00E2729A" w:rsidRPr="00E2729A" w:rsidRDefault="00E2729A" w:rsidP="00B92FAC">
      <w:pPr>
        <w:spacing w:line="360" w:lineRule="auto"/>
        <w:jc w:val="both"/>
        <w:rPr>
          <w:rFonts w:ascii="Times New Roman" w:hAnsi="Times New Roman" w:cs="Times New Roman"/>
          <w:sz w:val="28"/>
          <w:szCs w:val="28"/>
        </w:rPr>
      </w:pPr>
      <w:r w:rsidRPr="00E2729A">
        <w:rPr>
          <w:rFonts w:ascii="Times New Roman" w:hAnsi="Times New Roman" w:cs="Times New Roman"/>
          <w:sz w:val="28"/>
          <w:szCs w:val="28"/>
        </w:rPr>
        <w:t xml:space="preserve">Рост популярности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продуктов в развитых странах обусловлен их преимуществами в условиях низких процентных ставок. Интеграция страховой защиты с инвестиционными возможностями привлекает клиентов, стремящихся к преодолению инфляции. Налоговые льготы в ряде юрисдикций усиливают конкурентные преимущества перед традиционными накопительными продуктами. Дополнительным стимулом выступает прозрачность структуры затрат и гибкость условий контрактов. Демографические изменения, включая старение населения и рост среднего класса, формируют устойчивый спрос. Повышение финансовой грамотности способствует пониманию механизмов инвестиционно-страховых продуктов. Технологическая модернизация процессов упрощает доступ к сложным финансовым инструментам. Эти факторы создают синергетический эффект, ускоряющий проникновение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решений на развитые рынки.</w:t>
      </w:r>
    </w:p>
    <w:p w:rsidR="00E2729A" w:rsidRDefault="00E2729A" w:rsidP="00B92FAC">
      <w:pPr>
        <w:spacing w:line="360" w:lineRule="auto"/>
        <w:jc w:val="both"/>
        <w:rPr>
          <w:rFonts w:ascii="Times New Roman" w:hAnsi="Times New Roman" w:cs="Times New Roman"/>
          <w:sz w:val="28"/>
          <w:szCs w:val="28"/>
        </w:rPr>
      </w:pPr>
      <w:r w:rsidRPr="00E2729A">
        <w:rPr>
          <w:rFonts w:ascii="Times New Roman" w:hAnsi="Times New Roman" w:cs="Times New Roman"/>
          <w:sz w:val="28"/>
          <w:szCs w:val="28"/>
        </w:rPr>
        <w:t xml:space="preserve">Региональные особенности регулирования существенно влияют на развитие рынков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страхования. В Европе директива </w:t>
      </w:r>
      <w:proofErr w:type="spellStart"/>
      <w:r w:rsidRPr="00E2729A">
        <w:rPr>
          <w:rFonts w:ascii="Times New Roman" w:hAnsi="Times New Roman" w:cs="Times New Roman"/>
          <w:sz w:val="28"/>
          <w:szCs w:val="28"/>
        </w:rPr>
        <w:t>Solvency</w:t>
      </w:r>
      <w:proofErr w:type="spellEnd"/>
      <w:r w:rsidRPr="00E2729A">
        <w:rPr>
          <w:rFonts w:ascii="Times New Roman" w:hAnsi="Times New Roman" w:cs="Times New Roman"/>
          <w:sz w:val="28"/>
          <w:szCs w:val="28"/>
        </w:rPr>
        <w:t xml:space="preserve"> II устанавливает строгие требования к капиталу и прозрачности инвестиций. Североамериканская модель акцентирует внимание на гарантиях минимальных выплат и защите прав потребителей. Азиатские регуляторы внедряют гибридные подходы, сочетающие элементы либерализации с контролем за рискованными активами. Эти различия определяют географическую специализацию крупнейших игроков.</w:t>
      </w:r>
    </w:p>
    <w:p w:rsidR="00E2729A" w:rsidRPr="00E2729A" w:rsidRDefault="00E2729A" w:rsidP="00B92FAC">
      <w:pPr>
        <w:spacing w:line="360" w:lineRule="auto"/>
        <w:jc w:val="both"/>
        <w:rPr>
          <w:rFonts w:ascii="Times New Roman" w:hAnsi="Times New Roman" w:cs="Times New Roman"/>
          <w:sz w:val="28"/>
          <w:szCs w:val="28"/>
        </w:rPr>
      </w:pPr>
      <w:r w:rsidRPr="00E2729A">
        <w:rPr>
          <w:rFonts w:ascii="Times New Roman" w:hAnsi="Times New Roman" w:cs="Times New Roman"/>
          <w:sz w:val="28"/>
          <w:szCs w:val="28"/>
        </w:rPr>
        <w:t xml:space="preserve">Европейский рынок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продуктов демонстрировал устойчивый рост страховых премий в период 2018-2023 годов. Среднегодовой темп прироста составил 5,2%, достигнув к 2023 году объема в €215 млрд. Лидером региона </w:t>
      </w:r>
      <w:r w:rsidRPr="00E2729A">
        <w:rPr>
          <w:rFonts w:ascii="Times New Roman" w:hAnsi="Times New Roman" w:cs="Times New Roman"/>
          <w:sz w:val="28"/>
          <w:szCs w:val="28"/>
        </w:rPr>
        <w:lastRenderedPageBreak/>
        <w:t xml:space="preserve">оставалась Великобритания с долей 32% от общего объема премий, несмотря на краткосрочное замедление в 2020 году из-за </w:t>
      </w:r>
      <w:proofErr w:type="spellStart"/>
      <w:r w:rsidRPr="00E2729A">
        <w:rPr>
          <w:rFonts w:ascii="Times New Roman" w:hAnsi="Times New Roman" w:cs="Times New Roman"/>
          <w:sz w:val="28"/>
          <w:szCs w:val="28"/>
        </w:rPr>
        <w:t>пандемийных</w:t>
      </w:r>
      <w:proofErr w:type="spellEnd"/>
      <w:r w:rsidRPr="00E2729A">
        <w:rPr>
          <w:rFonts w:ascii="Times New Roman" w:hAnsi="Times New Roman" w:cs="Times New Roman"/>
          <w:sz w:val="28"/>
          <w:szCs w:val="28"/>
        </w:rPr>
        <w:t xml:space="preserve"> ограничений. Германия и Франция показали сопоставимые темпы роста на уровне 4,8% и 4,5% соответственно. Северная Америка характеризовалась более умеренной динамикой со среднегодовым приростом 3,7%. К 2023 году совокупный объем премий в регионе достиг $185 млрд, при этом 85% рынка контролировалось США. Канадский рынок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продуктов развивался опережающими темпами (4,3% CAGR), что объясняется налоговыми льготами для долгосрочных сберегательных продуктов. Конкуренция со стороны ETF и паевых фондов ограничивала экспансию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в сегменте среднесрочных инвестиций. Азиатский регион продемонстрировал наиболее высокие темпы роста - 11,4% CAGR за анализируемый период. Китай стал ключевым драйвером экспансии, увеличив сбор премий по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продуктам в 2,3 раза к 2023 году. Южная Корея и Сингапур сохранили лидерство по проникновению на душу населения (€420 и €385 соответственно). Индия показала рекордный рост на 18% в 2023 году благодаря либерализации страхового законодательства. Сравнительный анализ выявил трёхкратное превышение темпов роста азиатского рынка над североамериканским. Европа сохранила абсолютное лидерство по объёмам премий, тогда как Азия увеличила свою долю в г</w:t>
      </w:r>
      <w:r>
        <w:rPr>
          <w:rFonts w:ascii="Times New Roman" w:hAnsi="Times New Roman" w:cs="Times New Roman"/>
          <w:sz w:val="28"/>
          <w:szCs w:val="28"/>
        </w:rPr>
        <w:t xml:space="preserve">лобальном объёме с 18% до 27%. </w:t>
      </w:r>
    </w:p>
    <w:p w:rsidR="00E2729A" w:rsidRDefault="00E2729A" w:rsidP="00B92FAC">
      <w:pPr>
        <w:spacing w:line="360" w:lineRule="auto"/>
        <w:jc w:val="both"/>
        <w:rPr>
          <w:rFonts w:ascii="Times New Roman" w:hAnsi="Times New Roman" w:cs="Times New Roman"/>
          <w:sz w:val="28"/>
          <w:szCs w:val="28"/>
        </w:rPr>
      </w:pPr>
      <w:r w:rsidRPr="00E2729A">
        <w:rPr>
          <w:rFonts w:ascii="Times New Roman" w:hAnsi="Times New Roman" w:cs="Times New Roman"/>
          <w:sz w:val="28"/>
          <w:szCs w:val="28"/>
        </w:rPr>
        <w:t xml:space="preserve">Доля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продуктов на европейском страховом рынке увеличилась с 38% до 42% за 2018-2023 годы, что обусловлено низкой процентной ставкой ЕЦБ и миграцией клиентов от традиционных депозитов. В Великобритании доля достигла 51% благодаря налоговым преимуществам ISA-счетов. Континентальная Европа показала разнонаправленную динамику: рост в Скандинавии (на 5,2 </w:t>
      </w:r>
      <w:proofErr w:type="spellStart"/>
      <w:r w:rsidRPr="00E2729A">
        <w:rPr>
          <w:rFonts w:ascii="Times New Roman" w:hAnsi="Times New Roman" w:cs="Times New Roman"/>
          <w:sz w:val="28"/>
          <w:szCs w:val="28"/>
        </w:rPr>
        <w:t>п.п</w:t>
      </w:r>
      <w:proofErr w:type="spellEnd"/>
      <w:r w:rsidRPr="00E2729A">
        <w:rPr>
          <w:rFonts w:ascii="Times New Roman" w:hAnsi="Times New Roman" w:cs="Times New Roman"/>
          <w:sz w:val="28"/>
          <w:szCs w:val="28"/>
        </w:rPr>
        <w:t xml:space="preserve">.) против стагнации в Южной Европе из-за высокой безработицы. Макроэкономические факторы по-разному влияли на регионы: в Азии рост среднего класса увеличил долю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до 35% рынка страхования жизни, тогда как в Северной Америке этот показатель остался на уровне 28%. Ужесточение регуляторных требований </w:t>
      </w:r>
      <w:proofErr w:type="spellStart"/>
      <w:r w:rsidRPr="00E2729A">
        <w:rPr>
          <w:rFonts w:ascii="Times New Roman" w:hAnsi="Times New Roman" w:cs="Times New Roman"/>
          <w:sz w:val="28"/>
          <w:szCs w:val="28"/>
        </w:rPr>
        <w:t>Solvency</w:t>
      </w:r>
      <w:proofErr w:type="spellEnd"/>
      <w:r w:rsidRPr="00E2729A">
        <w:rPr>
          <w:rFonts w:ascii="Times New Roman" w:hAnsi="Times New Roman" w:cs="Times New Roman"/>
          <w:sz w:val="28"/>
          <w:szCs w:val="28"/>
        </w:rPr>
        <w:t xml:space="preserve"> II в Европе и </w:t>
      </w:r>
      <w:r w:rsidRPr="00E2729A">
        <w:rPr>
          <w:rFonts w:ascii="Times New Roman" w:hAnsi="Times New Roman" w:cs="Times New Roman"/>
          <w:sz w:val="28"/>
          <w:szCs w:val="28"/>
        </w:rPr>
        <w:lastRenderedPageBreak/>
        <w:t xml:space="preserve">повышение ключевых ставок ФРС в 2022-2023 годах временно замедлили </w:t>
      </w:r>
      <w:proofErr w:type="spellStart"/>
      <w:r w:rsidRPr="00E2729A">
        <w:rPr>
          <w:rFonts w:ascii="Times New Roman" w:hAnsi="Times New Roman" w:cs="Times New Roman"/>
          <w:sz w:val="28"/>
          <w:szCs w:val="28"/>
        </w:rPr>
        <w:t>переток</w:t>
      </w:r>
      <w:proofErr w:type="spellEnd"/>
      <w:r w:rsidRPr="00E2729A">
        <w:rPr>
          <w:rFonts w:ascii="Times New Roman" w:hAnsi="Times New Roman" w:cs="Times New Roman"/>
          <w:sz w:val="28"/>
          <w:szCs w:val="28"/>
        </w:rPr>
        <w:t xml:space="preserve"> капитала в </w:t>
      </w: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продукты.</w:t>
      </w:r>
    </w:p>
    <w:p w:rsidR="00E2729A" w:rsidRDefault="00E2729A" w:rsidP="00B92FAC">
      <w:pPr>
        <w:spacing w:line="360" w:lineRule="auto"/>
        <w:jc w:val="both"/>
        <w:rPr>
          <w:rFonts w:ascii="Times New Roman" w:hAnsi="Times New Roman" w:cs="Times New Roman"/>
          <w:sz w:val="28"/>
          <w:szCs w:val="28"/>
        </w:rPr>
      </w:pPr>
      <w:proofErr w:type="spellStart"/>
      <w:r w:rsidRPr="00E2729A">
        <w:rPr>
          <w:rFonts w:ascii="Times New Roman" w:hAnsi="Times New Roman" w:cs="Times New Roman"/>
          <w:sz w:val="28"/>
          <w:szCs w:val="28"/>
        </w:rPr>
        <w:t>Unit-linked</w:t>
      </w:r>
      <w:proofErr w:type="spellEnd"/>
      <w:r w:rsidRPr="00E2729A">
        <w:rPr>
          <w:rFonts w:ascii="Times New Roman" w:hAnsi="Times New Roman" w:cs="Times New Roman"/>
          <w:sz w:val="28"/>
          <w:szCs w:val="28"/>
        </w:rPr>
        <w:t xml:space="preserve"> </w:t>
      </w:r>
      <w:proofErr w:type="spellStart"/>
      <w:r w:rsidRPr="00E2729A">
        <w:rPr>
          <w:rFonts w:ascii="Times New Roman" w:hAnsi="Times New Roman" w:cs="Times New Roman"/>
          <w:sz w:val="28"/>
          <w:szCs w:val="28"/>
        </w:rPr>
        <w:t>life</w:t>
      </w:r>
      <w:proofErr w:type="spellEnd"/>
      <w:r w:rsidRPr="00E2729A">
        <w:rPr>
          <w:rFonts w:ascii="Times New Roman" w:hAnsi="Times New Roman" w:cs="Times New Roman"/>
          <w:sz w:val="28"/>
          <w:szCs w:val="28"/>
        </w:rPr>
        <w:t xml:space="preserve"> </w:t>
      </w:r>
      <w:proofErr w:type="spellStart"/>
      <w:r w:rsidRPr="00E2729A">
        <w:rPr>
          <w:rFonts w:ascii="Times New Roman" w:hAnsi="Times New Roman" w:cs="Times New Roman"/>
          <w:sz w:val="28"/>
          <w:szCs w:val="28"/>
        </w:rPr>
        <w:t>insurance</w:t>
      </w:r>
      <w:proofErr w:type="spellEnd"/>
      <w:r w:rsidRPr="00E2729A">
        <w:rPr>
          <w:rFonts w:ascii="Times New Roman" w:hAnsi="Times New Roman" w:cs="Times New Roman"/>
          <w:sz w:val="28"/>
          <w:szCs w:val="28"/>
        </w:rPr>
        <w:t xml:space="preserve"> продемонстрировали устойчивый рост на ключевых зарубежных рынках Европы, Азии и Северной Америки в период 2018-2023 годов. Данные международных ассоциаций страхования свидетельствуют о значительном увеличении доли этих продуктов в общем объёме страховых премий, достигшей 20-35%. Такой рост обусловлен гибридной природой инструментов, сочетающих страховую защиту с инвестиционной составляющей, что повысило их привлекательность для инвесторов в условиях динамично меняющихся рынков.</w:t>
      </w:r>
    </w:p>
    <w:p w:rsidR="00B92FAC" w:rsidRDefault="00B92FAC" w:rsidP="00B92FAC">
      <w:pPr>
        <w:spacing w:line="360" w:lineRule="auto"/>
        <w:jc w:val="both"/>
        <w:rPr>
          <w:rFonts w:ascii="Times New Roman" w:hAnsi="Times New Roman" w:cs="Times New Roman"/>
          <w:sz w:val="28"/>
          <w:szCs w:val="28"/>
        </w:rPr>
      </w:pPr>
    </w:p>
    <w:p w:rsidR="00B92FAC" w:rsidRPr="00B92FAC" w:rsidRDefault="00B92FAC" w:rsidP="00B92FAC">
      <w:pPr>
        <w:spacing w:line="360" w:lineRule="auto"/>
        <w:jc w:val="both"/>
        <w:rPr>
          <w:rFonts w:ascii="Times New Roman" w:hAnsi="Times New Roman" w:cs="Times New Roman"/>
          <w:b/>
          <w:sz w:val="28"/>
          <w:szCs w:val="28"/>
        </w:rPr>
      </w:pPr>
      <w:r w:rsidRPr="00B92FAC">
        <w:rPr>
          <w:rFonts w:ascii="Times New Roman" w:hAnsi="Times New Roman" w:cs="Times New Roman"/>
          <w:b/>
          <w:sz w:val="28"/>
          <w:szCs w:val="28"/>
        </w:rPr>
        <w:t>Моделирование инструмента</w:t>
      </w:r>
    </w:p>
    <w:p w:rsidR="00B92FAC" w:rsidRDefault="00B92FAC" w:rsidP="00B92FAC">
      <w:pPr>
        <w:spacing w:line="360" w:lineRule="auto"/>
        <w:jc w:val="both"/>
        <w:rPr>
          <w:rFonts w:ascii="Times New Roman" w:hAnsi="Times New Roman" w:cs="Times New Roman"/>
          <w:sz w:val="28"/>
          <w:szCs w:val="28"/>
        </w:rPr>
      </w:pPr>
      <w:r>
        <w:rPr>
          <w:rFonts w:ascii="Times New Roman" w:hAnsi="Times New Roman" w:cs="Times New Roman"/>
          <w:sz w:val="28"/>
          <w:szCs w:val="28"/>
        </w:rPr>
        <w:t>Договор ДСЖ имеет в природе своих выплат нелинейность, связанную как с изменением рыночных факторов, так и с фактом дожития или не дожития застрахованного лица до определенного срока. В данном контексте, в моделировании инструмента применим подход риск-нейтрального ценообразования. Однако, в силу гибридного состава продукта следует разделить использование подхода на инвестиционную и страховую части.</w:t>
      </w:r>
    </w:p>
    <w:p w:rsidR="00B92FAC" w:rsidRDefault="00B92FAC" w:rsidP="00B92FAC">
      <w:pPr>
        <w:spacing w:line="360" w:lineRule="auto"/>
        <w:jc w:val="both"/>
        <w:rPr>
          <w:rFonts w:ascii="Times New Roman" w:hAnsi="Times New Roman" w:cs="Times New Roman"/>
          <w:sz w:val="28"/>
          <w:szCs w:val="28"/>
        </w:rPr>
      </w:pPr>
      <w:r>
        <w:rPr>
          <w:rFonts w:ascii="Times New Roman" w:hAnsi="Times New Roman" w:cs="Times New Roman"/>
          <w:sz w:val="28"/>
          <w:szCs w:val="28"/>
        </w:rPr>
        <w:t>Пусть изменение цены ПИФ, выбранного в качестве источника инвестиционного дохода в ДСЖ, описывается следующим стохастическим дифференциальным уравнением:</w:t>
      </w:r>
    </w:p>
    <w:p w:rsidR="00E00A5B" w:rsidRPr="00E00A5B" w:rsidRDefault="002B752D" w:rsidP="00B92FAC">
      <w:pPr>
        <w:spacing w:line="360" w:lineRule="auto"/>
        <w:jc w:val="both"/>
        <w:rPr>
          <w:rFonts w:ascii="Times New Roman" w:eastAsiaTheme="minorEastAsia" w:hAnsi="Times New Roman" w:cs="Times New Roman"/>
          <w:i/>
          <w:sz w:val="28"/>
          <w:szCs w:val="28"/>
        </w:rPr>
      </w:pPr>
      <m:oMathPara>
        <m:oMath>
          <m:eqArr>
            <m:eqArrPr>
              <m:maxDist m:val="1"/>
              <m:ctrlPr>
                <w:rPr>
                  <w:rFonts w:ascii="Cambria Math" w:hAnsi="Cambria Math" w:cs="Times New Roman"/>
                  <w:i/>
                  <w:sz w:val="28"/>
                  <w:szCs w:val="28"/>
                </w:rPr>
              </m:ctrlPr>
            </m:eqArrPr>
            <m:e>
              <m:r>
                <w:rPr>
                  <w:rFonts w:ascii="Cambria Math" w:hAnsi="Cambria Math" w:cs="Times New Roman"/>
                  <w:sz w:val="28"/>
                  <w:szCs w:val="28"/>
                </w:rPr>
                <m:t>d</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r>
                <w:rPr>
                  <w:rFonts w:ascii="Cambria Math" w:hAnsi="Cambria Math" w:cs="Times New Roman"/>
                  <w:sz w:val="28"/>
                  <w:szCs w:val="28"/>
                </w:rPr>
                <m:t>=α</m:t>
              </m:r>
              <m:d>
                <m:dPr>
                  <m:ctrlPr>
                    <w:rPr>
                      <w:rFonts w:ascii="Cambria Math" w:hAnsi="Cambria Math" w:cs="Times New Roman"/>
                      <w:i/>
                      <w:sz w:val="28"/>
                      <w:szCs w:val="28"/>
                    </w:rPr>
                  </m:ctrlPr>
                </m:dPr>
                <m:e>
                  <m:r>
                    <w:rPr>
                      <w:rFonts w:ascii="Cambria Math" w:hAnsi="Cambria Math" w:cs="Times New Roman"/>
                      <w:sz w:val="28"/>
                      <w:szCs w:val="28"/>
                    </w:rPr>
                    <m:t xml:space="preserve">t,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e>
              </m:d>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r>
                <w:rPr>
                  <w:rFonts w:ascii="Cambria Math" w:hAnsi="Cambria Math" w:cs="Times New Roman"/>
                  <w:sz w:val="28"/>
                  <w:szCs w:val="28"/>
                </w:rPr>
                <m:t>dt+σ</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e>
              </m:d>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r>
                <w:rPr>
                  <w:rFonts w:ascii="Cambria Math" w:hAnsi="Cambria Math" w:cs="Times New Roman"/>
                  <w:sz w:val="28"/>
                  <w:szCs w:val="28"/>
                </w:rPr>
                <m:t>d</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t</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m:t>
                  </m:r>
                </m:e>
              </m:d>
            </m:e>
          </m:eqArr>
        </m:oMath>
      </m:oMathPara>
    </w:p>
    <w:p w:rsidR="00B92FAC" w:rsidRDefault="00C93241" w:rsidP="00C93241">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oMath>
      <w:r>
        <w:rPr>
          <w:rFonts w:ascii="Times New Roman" w:eastAsiaTheme="minorEastAsia" w:hAnsi="Times New Roman" w:cs="Times New Roman"/>
          <w:sz w:val="28"/>
          <w:szCs w:val="28"/>
        </w:rPr>
        <w:t xml:space="preserve"> – цена ПИФ,</w:t>
      </w:r>
      <w:r>
        <w:rPr>
          <w:rFonts w:ascii="Times New Roman" w:hAnsi="Times New Roman" w:cs="Times New Roman"/>
          <w:sz w:val="28"/>
          <w:szCs w:val="28"/>
        </w:rPr>
        <w:t xml:space="preserve"> </w:t>
      </w:r>
      <m:oMath>
        <m:r>
          <w:rPr>
            <w:rFonts w:ascii="Cambria Math" w:hAnsi="Cambria Math" w:cs="Times New Roman"/>
            <w:sz w:val="28"/>
            <w:szCs w:val="28"/>
          </w:rPr>
          <m:t>α</m:t>
        </m:r>
        <m:d>
          <m:dPr>
            <m:ctrlPr>
              <w:rPr>
                <w:rFonts w:ascii="Cambria Math" w:hAnsi="Cambria Math" w:cs="Times New Roman"/>
                <w:i/>
                <w:sz w:val="28"/>
                <w:szCs w:val="28"/>
              </w:rPr>
            </m:ctrlPr>
          </m:dPr>
          <m:e>
            <m:r>
              <w:rPr>
                <w:rFonts w:ascii="Cambria Math" w:hAnsi="Cambria Math" w:cs="Times New Roman"/>
                <w:sz w:val="28"/>
                <w:szCs w:val="28"/>
              </w:rPr>
              <m:t xml:space="preserve">t,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e>
        </m:d>
      </m:oMath>
      <w:r>
        <w:rPr>
          <w:rFonts w:ascii="Times New Roman" w:eastAsiaTheme="minorEastAsia" w:hAnsi="Times New Roman" w:cs="Times New Roman"/>
          <w:sz w:val="28"/>
          <w:szCs w:val="28"/>
        </w:rPr>
        <w:t xml:space="preserve"> – описывает детерминированную часть динамики,  </w:t>
      </w:r>
      <m:oMath>
        <m:r>
          <w:rPr>
            <w:rFonts w:ascii="Cambria Math" w:hAnsi="Cambria Math" w:cs="Times New Roman"/>
            <w:sz w:val="28"/>
            <w:szCs w:val="28"/>
          </w:rPr>
          <m:t>σ</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e>
        </m:d>
      </m:oMath>
      <w:r>
        <w:rPr>
          <w:rFonts w:ascii="Times New Roman" w:eastAsiaTheme="minorEastAsia" w:hAnsi="Times New Roman" w:cs="Times New Roman"/>
          <w:sz w:val="28"/>
          <w:szCs w:val="28"/>
        </w:rPr>
        <w:t xml:space="preserve"> – функция волатильности динамики, </w:t>
      </w:r>
      <m:oMath>
        <m:r>
          <w:rPr>
            <w:rFonts w:ascii="Cambria Math" w:hAnsi="Cambria Math" w:cs="Times New Roman"/>
            <w:sz w:val="28"/>
            <w:szCs w:val="28"/>
          </w:rPr>
          <m:t>d</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t</m:t>
            </m:r>
          </m:sub>
        </m:sSub>
      </m:oMath>
      <w:r>
        <w:rPr>
          <w:rFonts w:ascii="Times New Roman" w:eastAsiaTheme="minorEastAsia" w:hAnsi="Times New Roman" w:cs="Times New Roman"/>
          <w:sz w:val="28"/>
          <w:szCs w:val="28"/>
        </w:rPr>
        <w:t xml:space="preserve"> – приращение процесса Винера</w:t>
      </w:r>
      <w:r w:rsidR="00BB227C">
        <w:rPr>
          <w:rFonts w:ascii="Times New Roman" w:eastAsiaTheme="minorEastAsia" w:hAnsi="Times New Roman" w:cs="Times New Roman"/>
          <w:sz w:val="28"/>
          <w:szCs w:val="28"/>
        </w:rPr>
        <w:t xml:space="preserve">, ассоциированный с фильтрацией </w:t>
      </w:r>
      <m:oMath>
        <m:sSub>
          <m:sSubPr>
            <m:ctrlPr>
              <w:rPr>
                <w:rFonts w:ascii="Cambria Math" w:eastAsiaTheme="minorEastAsia" w:hAnsi="Cambria Math" w:cs="Times New Roman"/>
                <w:i/>
                <w:sz w:val="28"/>
                <w:szCs w:val="28"/>
              </w:rPr>
            </m:ctrlPr>
          </m:sSubPr>
          <m:e>
            <m:r>
              <m:rPr>
                <m:scr m:val="script"/>
              </m:rPr>
              <w:rPr>
                <w:rFonts w:ascii="Cambria Math" w:eastAsiaTheme="minorEastAsia" w:hAnsi="Cambria Math" w:cs="Times New Roman"/>
                <w:sz w:val="28"/>
                <w:szCs w:val="28"/>
              </w:rPr>
              <m:t>F</m:t>
            </m:r>
          </m:e>
          <m:sub>
            <m:r>
              <w:rPr>
                <w:rFonts w:ascii="Cambria Math" w:eastAsiaTheme="minorEastAsia" w:hAnsi="Cambria Math" w:cs="Times New Roman"/>
                <w:sz w:val="28"/>
                <w:szCs w:val="28"/>
              </w:rPr>
              <m:t>t</m:t>
            </m:r>
          </m:sub>
        </m:sSub>
      </m:oMath>
      <w:r>
        <w:rPr>
          <w:rFonts w:ascii="Times New Roman" w:eastAsiaTheme="minorEastAsia" w:hAnsi="Times New Roman" w:cs="Times New Roman"/>
          <w:sz w:val="28"/>
          <w:szCs w:val="28"/>
        </w:rPr>
        <w:t xml:space="preserve">. Для определенности предположим явный вид локальной волатильности </w:t>
      </w:r>
      <m:oMath>
        <m:r>
          <w:rPr>
            <w:rFonts w:ascii="Cambria Math" w:hAnsi="Cambria Math" w:cs="Times New Roman"/>
            <w:sz w:val="28"/>
            <w:szCs w:val="28"/>
          </w:rPr>
          <m:t>σ</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e>
        </m:d>
      </m:oMath>
      <w:r>
        <w:rPr>
          <w:rFonts w:ascii="Times New Roman" w:eastAsiaTheme="minorEastAsia" w:hAnsi="Times New Roman" w:cs="Times New Roman"/>
          <w:sz w:val="28"/>
          <w:szCs w:val="28"/>
        </w:rPr>
        <w:t xml:space="preserve"> как детерминированной функции от текущего уровня цен с постоянной </w:t>
      </w:r>
      <w:r>
        <w:rPr>
          <w:rFonts w:ascii="Times New Roman" w:eastAsiaTheme="minorEastAsia" w:hAnsi="Times New Roman" w:cs="Times New Roman"/>
          <w:sz w:val="28"/>
          <w:szCs w:val="28"/>
        </w:rPr>
        <w:lastRenderedPageBreak/>
        <w:t xml:space="preserve">эластичностью дисперсии </w:t>
      </w:r>
      <w:r w:rsidR="00E00A5B">
        <w:rPr>
          <w:rFonts w:ascii="Times New Roman" w:eastAsiaTheme="minorEastAsia" w:hAnsi="Times New Roman" w:cs="Times New Roman"/>
          <w:sz w:val="28"/>
          <w:szCs w:val="28"/>
        </w:rPr>
        <w:t>(</w:t>
      </w:r>
      <w:r w:rsidR="00E00A5B">
        <w:rPr>
          <w:rFonts w:ascii="Times New Roman" w:eastAsiaTheme="minorEastAsia" w:hAnsi="Times New Roman" w:cs="Times New Roman"/>
          <w:sz w:val="28"/>
          <w:szCs w:val="28"/>
          <w:lang w:val="en-US"/>
        </w:rPr>
        <w:t>Local</w:t>
      </w:r>
      <w:r w:rsidR="00E00A5B" w:rsidRPr="00E00A5B">
        <w:rPr>
          <w:rFonts w:ascii="Times New Roman" w:eastAsiaTheme="minorEastAsia" w:hAnsi="Times New Roman" w:cs="Times New Roman"/>
          <w:sz w:val="28"/>
          <w:szCs w:val="28"/>
        </w:rPr>
        <w:t xml:space="preserve"> </w:t>
      </w:r>
      <w:r w:rsidR="00E00A5B">
        <w:rPr>
          <w:rFonts w:ascii="Times New Roman" w:eastAsiaTheme="minorEastAsia" w:hAnsi="Times New Roman" w:cs="Times New Roman"/>
          <w:sz w:val="28"/>
          <w:szCs w:val="28"/>
          <w:lang w:val="en-US"/>
        </w:rPr>
        <w:t>volatility</w:t>
      </w:r>
      <w:r w:rsidR="00E00A5B" w:rsidRPr="00E00A5B">
        <w:rPr>
          <w:rFonts w:ascii="Times New Roman" w:eastAsiaTheme="minorEastAsia" w:hAnsi="Times New Roman" w:cs="Times New Roman"/>
          <w:sz w:val="28"/>
          <w:szCs w:val="28"/>
        </w:rPr>
        <w:t xml:space="preserve"> </w:t>
      </w:r>
      <w:r w:rsidR="00E00A5B">
        <w:rPr>
          <w:rFonts w:ascii="Times New Roman" w:eastAsiaTheme="minorEastAsia" w:hAnsi="Times New Roman" w:cs="Times New Roman"/>
          <w:sz w:val="28"/>
          <w:szCs w:val="28"/>
          <w:lang w:val="en-US"/>
        </w:rPr>
        <w:t>with</w:t>
      </w:r>
      <w:r w:rsidR="00E00A5B" w:rsidRPr="00E00A5B">
        <w:rPr>
          <w:rFonts w:ascii="Times New Roman" w:eastAsiaTheme="minorEastAsia" w:hAnsi="Times New Roman" w:cs="Times New Roman"/>
          <w:sz w:val="28"/>
          <w:szCs w:val="28"/>
        </w:rPr>
        <w:t xml:space="preserve"> </w:t>
      </w:r>
      <w:r w:rsidR="00E00A5B">
        <w:rPr>
          <w:rFonts w:ascii="Times New Roman" w:eastAsiaTheme="minorEastAsia" w:hAnsi="Times New Roman" w:cs="Times New Roman"/>
          <w:sz w:val="28"/>
          <w:szCs w:val="28"/>
          <w:lang w:val="en-US"/>
        </w:rPr>
        <w:t>constant</w:t>
      </w:r>
      <w:r w:rsidR="00E00A5B" w:rsidRPr="00E00A5B">
        <w:rPr>
          <w:rFonts w:ascii="Times New Roman" w:eastAsiaTheme="minorEastAsia" w:hAnsi="Times New Roman" w:cs="Times New Roman"/>
          <w:sz w:val="28"/>
          <w:szCs w:val="28"/>
        </w:rPr>
        <w:t xml:space="preserve"> </w:t>
      </w:r>
      <w:proofErr w:type="spellStart"/>
      <w:r w:rsidR="00E00A5B">
        <w:rPr>
          <w:rFonts w:ascii="Times New Roman" w:eastAsiaTheme="minorEastAsia" w:hAnsi="Times New Roman" w:cs="Times New Roman"/>
          <w:sz w:val="28"/>
          <w:szCs w:val="28"/>
        </w:rPr>
        <w:t>elasticity</w:t>
      </w:r>
      <w:proofErr w:type="spellEnd"/>
      <w:r w:rsidR="00E00A5B">
        <w:rPr>
          <w:rFonts w:ascii="Times New Roman" w:eastAsiaTheme="minorEastAsia" w:hAnsi="Times New Roman" w:cs="Times New Roman"/>
          <w:sz w:val="28"/>
          <w:szCs w:val="28"/>
        </w:rPr>
        <w:t xml:space="preserve"> </w:t>
      </w:r>
      <w:proofErr w:type="spellStart"/>
      <w:r w:rsidR="00E00A5B">
        <w:rPr>
          <w:rFonts w:ascii="Times New Roman" w:eastAsiaTheme="minorEastAsia" w:hAnsi="Times New Roman" w:cs="Times New Roman"/>
          <w:sz w:val="28"/>
          <w:szCs w:val="28"/>
        </w:rPr>
        <w:t>of</w:t>
      </w:r>
      <w:proofErr w:type="spellEnd"/>
      <w:r w:rsidR="00E00A5B">
        <w:rPr>
          <w:rFonts w:ascii="Times New Roman" w:eastAsiaTheme="minorEastAsia" w:hAnsi="Times New Roman" w:cs="Times New Roman"/>
          <w:sz w:val="28"/>
          <w:szCs w:val="28"/>
        </w:rPr>
        <w:t xml:space="preserve"> </w:t>
      </w:r>
      <w:proofErr w:type="spellStart"/>
      <w:r w:rsidR="00E00A5B">
        <w:rPr>
          <w:rFonts w:ascii="Times New Roman" w:eastAsiaTheme="minorEastAsia" w:hAnsi="Times New Roman" w:cs="Times New Roman"/>
          <w:sz w:val="28"/>
          <w:szCs w:val="28"/>
        </w:rPr>
        <w:t>varianc</w:t>
      </w:r>
      <w:proofErr w:type="spellEnd"/>
      <w:r w:rsidR="00E00A5B">
        <w:rPr>
          <w:rFonts w:ascii="Times New Roman" w:eastAsiaTheme="minorEastAsia" w:hAnsi="Times New Roman" w:cs="Times New Roman"/>
          <w:sz w:val="28"/>
          <w:szCs w:val="28"/>
          <w:lang w:val="en-US"/>
        </w:rPr>
        <w:t>e</w:t>
      </w:r>
      <w:r w:rsidR="00E00A5B" w:rsidRPr="00E00A5B">
        <w:rPr>
          <w:rFonts w:ascii="Times New Roman" w:eastAsiaTheme="minorEastAsia" w:hAnsi="Times New Roman" w:cs="Times New Roman"/>
          <w:sz w:val="28"/>
          <w:szCs w:val="28"/>
        </w:rPr>
        <w:t xml:space="preserve">, </w:t>
      </w:r>
      <w:r w:rsidR="00E00A5B">
        <w:rPr>
          <w:rFonts w:ascii="Times New Roman" w:eastAsiaTheme="minorEastAsia" w:hAnsi="Times New Roman" w:cs="Times New Roman"/>
          <w:sz w:val="28"/>
          <w:szCs w:val="28"/>
          <w:lang w:val="en-US"/>
        </w:rPr>
        <w:t>Local</w:t>
      </w:r>
      <w:r w:rsidR="00E00A5B" w:rsidRPr="00E00A5B">
        <w:rPr>
          <w:rFonts w:ascii="Times New Roman" w:eastAsiaTheme="minorEastAsia" w:hAnsi="Times New Roman" w:cs="Times New Roman"/>
          <w:sz w:val="28"/>
          <w:szCs w:val="28"/>
        </w:rPr>
        <w:t xml:space="preserve"> </w:t>
      </w:r>
      <w:r w:rsidR="00E00A5B">
        <w:rPr>
          <w:rFonts w:ascii="Times New Roman" w:eastAsiaTheme="minorEastAsia" w:hAnsi="Times New Roman" w:cs="Times New Roman"/>
          <w:sz w:val="28"/>
          <w:szCs w:val="28"/>
          <w:lang w:val="en-US"/>
        </w:rPr>
        <w:t>Vol</w:t>
      </w:r>
      <w:r w:rsidR="00E00A5B" w:rsidRPr="00E00A5B">
        <w:rPr>
          <w:rFonts w:ascii="Times New Roman" w:eastAsiaTheme="minorEastAsia" w:hAnsi="Times New Roman" w:cs="Times New Roman"/>
          <w:sz w:val="28"/>
          <w:szCs w:val="28"/>
        </w:rPr>
        <w:t xml:space="preserve"> </w:t>
      </w:r>
      <w:r w:rsidR="00E00A5B">
        <w:rPr>
          <w:rFonts w:ascii="Times New Roman" w:eastAsiaTheme="minorEastAsia" w:hAnsi="Times New Roman" w:cs="Times New Roman"/>
          <w:sz w:val="28"/>
          <w:szCs w:val="28"/>
          <w:lang w:val="en-US"/>
        </w:rPr>
        <w:t>CEV</w:t>
      </w:r>
      <w:r w:rsidR="00E00A5B" w:rsidRPr="00E00A5B">
        <w:rPr>
          <w:rFonts w:ascii="Times New Roman" w:eastAsiaTheme="minorEastAsia" w:hAnsi="Times New Roman" w:cs="Times New Roman"/>
          <w:sz w:val="28"/>
          <w:szCs w:val="28"/>
        </w:rPr>
        <w:t xml:space="preserve"> </w:t>
      </w:r>
      <w:r w:rsidR="00E00A5B">
        <w:rPr>
          <w:rFonts w:ascii="Times New Roman" w:eastAsiaTheme="minorEastAsia" w:hAnsi="Times New Roman" w:cs="Times New Roman"/>
          <w:sz w:val="28"/>
          <w:szCs w:val="28"/>
          <w:lang w:val="en-US"/>
        </w:rPr>
        <w:t>model</w:t>
      </w:r>
      <w:r w:rsidR="00E00A5B">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w:t>
      </w:r>
    </w:p>
    <w:p w:rsidR="00C93241" w:rsidRPr="00C93241" w:rsidRDefault="002B752D" w:rsidP="00C93241">
      <w:pPr>
        <w:spacing w:line="360" w:lineRule="auto"/>
        <w:jc w:val="both"/>
        <w:rPr>
          <w:rFonts w:ascii="Times New Roman" w:eastAsiaTheme="minorEastAsia" w:hAnsi="Times New Roman" w:cs="Times New Roman"/>
          <w:i/>
          <w:sz w:val="28"/>
          <w:szCs w:val="28"/>
          <w:lang w:val="en-US"/>
        </w:rPr>
      </w:pPr>
      <m:oMathPara>
        <m:oMath>
          <m:eqArr>
            <m:eqArrPr>
              <m:maxDist m:val="1"/>
              <m:ctrlPr>
                <w:rPr>
                  <w:rFonts w:ascii="Cambria Math" w:eastAsiaTheme="minorEastAsia" w:hAnsi="Cambria Math" w:cs="Times New Roman"/>
                  <w:i/>
                  <w:sz w:val="28"/>
                  <w:szCs w:val="28"/>
                </w:rPr>
              </m:ctrlPr>
            </m:eqArrPr>
            <m:e>
              <m:r>
                <w:rPr>
                  <w:rFonts w:ascii="Cambria Math" w:hAnsi="Cambria Math" w:cs="Times New Roman"/>
                  <w:sz w:val="28"/>
                  <w:szCs w:val="28"/>
                </w:rPr>
                <m:t>σ</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0</m:t>
                  </m:r>
                </m:sub>
              </m:sSub>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t</m:t>
                  </m:r>
                </m:sub>
                <m:sup>
                  <m:r>
                    <w:rPr>
                      <w:rFonts w:ascii="Cambria Math" w:hAnsi="Cambria Math" w:cs="Times New Roman"/>
                      <w:sz w:val="28"/>
                      <w:szCs w:val="28"/>
                    </w:rPr>
                    <m:t>β-1</m:t>
                  </m:r>
                </m:sup>
              </m:sSubSup>
              <m:r>
                <w:rPr>
                  <w:rFonts w:ascii="Cambria Math"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2</m:t>
                  </m:r>
                </m:e>
              </m:d>
              <m:ctrlPr>
                <w:rPr>
                  <w:rFonts w:ascii="Cambria Math" w:hAnsi="Cambria Math" w:cs="Times New Roman"/>
                  <w:i/>
                  <w:sz w:val="28"/>
                  <w:szCs w:val="28"/>
                </w:rPr>
              </m:ctrlPr>
            </m:e>
          </m:eqArr>
        </m:oMath>
      </m:oMathPara>
    </w:p>
    <w:p w:rsidR="00C93241" w:rsidRDefault="00C93241" w:rsidP="00C93241">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0</m:t>
            </m:r>
          </m:sub>
        </m:sSub>
      </m:oMath>
      <w:r>
        <w:rPr>
          <w:rFonts w:ascii="Times New Roman" w:eastAsiaTheme="minorEastAsia" w:hAnsi="Times New Roman" w:cs="Times New Roman"/>
          <w:sz w:val="28"/>
          <w:szCs w:val="28"/>
        </w:rPr>
        <w:t xml:space="preserve"> и </w:t>
      </w:r>
      <m:oMath>
        <m:r>
          <w:rPr>
            <w:rFonts w:ascii="Cambria Math" w:hAnsi="Cambria Math" w:cs="Times New Roman"/>
            <w:sz w:val="28"/>
            <w:szCs w:val="28"/>
          </w:rPr>
          <m:t>β</m:t>
        </m:r>
      </m:oMath>
      <w:r>
        <w:rPr>
          <w:rFonts w:ascii="Times New Roman" w:eastAsiaTheme="minorEastAsia" w:hAnsi="Times New Roman" w:cs="Times New Roman"/>
          <w:sz w:val="28"/>
          <w:szCs w:val="28"/>
        </w:rPr>
        <w:t xml:space="preserve"> – параметры, которые необходимо оценить. </w:t>
      </w:r>
    </w:p>
    <w:p w:rsidR="00E00A5B" w:rsidRDefault="00E00A5B" w:rsidP="00C93241">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Тогда динамику </w:t>
      </w:r>
      <m:oMath>
        <m:r>
          <w:rPr>
            <w:rFonts w:ascii="Cambria Math" w:hAnsi="Cambria Math" w:cs="Times New Roman"/>
            <w:sz w:val="28"/>
            <w:szCs w:val="28"/>
          </w:rPr>
          <m:t>(1)</m:t>
        </m:r>
      </m:oMath>
      <w:r>
        <w:rPr>
          <w:rFonts w:ascii="Times New Roman" w:eastAsiaTheme="minorEastAsia" w:hAnsi="Times New Roman" w:cs="Times New Roman"/>
          <w:sz w:val="28"/>
          <w:szCs w:val="28"/>
        </w:rPr>
        <w:t xml:space="preserve"> можно переписать:</w:t>
      </w:r>
    </w:p>
    <w:p w:rsidR="00E00A5B" w:rsidRPr="00E00A5B" w:rsidRDefault="002B752D" w:rsidP="00C93241">
      <w:pPr>
        <w:spacing w:line="360" w:lineRule="auto"/>
        <w:jc w:val="both"/>
        <w:rPr>
          <w:rFonts w:ascii="Times New Roman" w:eastAsiaTheme="minorEastAsia" w:hAnsi="Times New Roman" w:cs="Times New Roman"/>
          <w:i/>
          <w:sz w:val="28"/>
          <w:szCs w:val="28"/>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d</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r>
                <w:rPr>
                  <w:rFonts w:ascii="Cambria Math" w:hAnsi="Cambria Math" w:cs="Times New Roman"/>
                  <w:sz w:val="28"/>
                  <w:szCs w:val="28"/>
                </w:rPr>
                <m:t>=α</m:t>
              </m:r>
              <m:d>
                <m:dPr>
                  <m:ctrlPr>
                    <w:rPr>
                      <w:rFonts w:ascii="Cambria Math" w:hAnsi="Cambria Math" w:cs="Times New Roman"/>
                      <w:i/>
                      <w:sz w:val="28"/>
                      <w:szCs w:val="28"/>
                    </w:rPr>
                  </m:ctrlPr>
                </m:dPr>
                <m:e>
                  <m:r>
                    <w:rPr>
                      <w:rFonts w:ascii="Cambria Math" w:hAnsi="Cambria Math" w:cs="Times New Roman"/>
                      <w:sz w:val="28"/>
                      <w:szCs w:val="28"/>
                    </w:rPr>
                    <m:t xml:space="preserve">t,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e>
              </m:d>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r>
                <w:rPr>
                  <w:rFonts w:ascii="Cambria Math" w:hAnsi="Cambria Math" w:cs="Times New Roman"/>
                  <w:sz w:val="28"/>
                  <w:szCs w:val="28"/>
                </w:rPr>
                <m:t>dt+</m:t>
              </m:r>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0</m:t>
                  </m:r>
                </m:sub>
              </m:sSub>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t</m:t>
                  </m:r>
                </m:sub>
                <m:sup>
                  <m:r>
                    <w:rPr>
                      <w:rFonts w:ascii="Cambria Math" w:hAnsi="Cambria Math" w:cs="Times New Roman"/>
                      <w:sz w:val="28"/>
                      <w:szCs w:val="28"/>
                    </w:rPr>
                    <m:t>β</m:t>
                  </m:r>
                </m:sup>
              </m:sSubSup>
              <m:r>
                <w:rPr>
                  <w:rFonts w:ascii="Cambria Math" w:hAnsi="Cambria Math" w:cs="Times New Roman"/>
                  <w:sz w:val="28"/>
                  <w:szCs w:val="28"/>
                </w:rPr>
                <m:t>d</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t</m:t>
                  </m:r>
                </m:sub>
              </m:sSub>
              <m:r>
                <w:rPr>
                  <w:rFonts w:ascii="Cambria Math" w:hAnsi="Cambria Math" w:cs="Times New Roman"/>
                  <w:sz w:val="28"/>
                  <w:szCs w:val="28"/>
                  <w:lang w:val="en-US"/>
                </w:rPr>
                <m:t>.</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3</m:t>
                  </m:r>
                </m:e>
              </m:d>
              <m:ctrlPr>
                <w:rPr>
                  <w:rFonts w:ascii="Cambria Math" w:hAnsi="Cambria Math" w:cs="Times New Roman"/>
                  <w:i/>
                  <w:sz w:val="28"/>
                  <w:szCs w:val="28"/>
                </w:rPr>
              </m:ctrlPr>
            </m:e>
          </m:eqArr>
        </m:oMath>
      </m:oMathPara>
    </w:p>
    <w:p w:rsidR="00E00A5B" w:rsidRDefault="00E00A5B" w:rsidP="00C93241">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Пусть теперь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oMath>
      <w:r w:rsidRPr="00E00A5B">
        <w:rPr>
          <w:rFonts w:ascii="Times New Roman" w:eastAsiaTheme="minorEastAsia" w:hAnsi="Times New Roman" w:cs="Times New Roman"/>
          <w:sz w:val="28"/>
          <w:szCs w:val="28"/>
        </w:rPr>
        <w:t xml:space="preserve"> – вектор </w:t>
      </w:r>
      <w:r>
        <w:rPr>
          <w:rFonts w:ascii="Times New Roman" w:eastAsiaTheme="minorEastAsia" w:hAnsi="Times New Roman" w:cs="Times New Roman"/>
          <w:sz w:val="28"/>
          <w:szCs w:val="28"/>
        </w:rPr>
        <w:t>факторов известной размерности, связанные со смертностью застрахованного лица</w:t>
      </w:r>
      <w:r>
        <w:rPr>
          <w:rStyle w:val="a6"/>
          <w:rFonts w:ascii="Times New Roman" w:eastAsiaTheme="minorEastAsia" w:hAnsi="Times New Roman" w:cs="Times New Roman"/>
          <w:sz w:val="28"/>
          <w:szCs w:val="28"/>
        </w:rPr>
        <w:footnoteReference w:id="1"/>
      </w:r>
      <w:r w:rsidR="00BA14F5">
        <w:rPr>
          <w:rFonts w:ascii="Times New Roman" w:eastAsiaTheme="minorEastAsia" w:hAnsi="Times New Roman" w:cs="Times New Roman"/>
          <w:sz w:val="28"/>
          <w:szCs w:val="28"/>
        </w:rPr>
        <w:t xml:space="preserve">, также определим </w:t>
      </w:r>
      <m:oMath>
        <m:r>
          <w:rPr>
            <w:rFonts w:ascii="Cambria Math" w:eastAsiaTheme="minorEastAsia" w:hAnsi="Cambria Math" w:cs="Times New Roman"/>
            <w:sz w:val="28"/>
            <w:szCs w:val="28"/>
          </w:rPr>
          <m:t>μ(</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oMath>
      <w:r w:rsidR="00BA14F5">
        <w:rPr>
          <w:rFonts w:ascii="Times New Roman" w:eastAsiaTheme="minorEastAsia" w:hAnsi="Times New Roman" w:cs="Times New Roman"/>
          <w:sz w:val="28"/>
          <w:szCs w:val="28"/>
        </w:rPr>
        <w:t xml:space="preserve"> как функцию от факторов, значением которой является мгновенная интенсивность смертности.</w:t>
      </w:r>
      <w:r w:rsidR="00905999">
        <w:rPr>
          <w:rFonts w:ascii="Times New Roman" w:eastAsiaTheme="minorEastAsia" w:hAnsi="Times New Roman" w:cs="Times New Roman"/>
          <w:i/>
          <w:sz w:val="28"/>
          <w:szCs w:val="28"/>
        </w:rPr>
        <w:t xml:space="preserve"> </w:t>
      </w:r>
      <w:r w:rsidR="00905999">
        <w:rPr>
          <w:rFonts w:ascii="Times New Roman" w:eastAsiaTheme="minorEastAsia" w:hAnsi="Times New Roman" w:cs="Times New Roman"/>
          <w:sz w:val="28"/>
          <w:szCs w:val="28"/>
        </w:rPr>
        <w:t xml:space="preserve">Определим </w:t>
      </w:r>
      <m:oMath>
        <m:r>
          <w:rPr>
            <w:rFonts w:ascii="Cambria Math" w:eastAsiaTheme="minorEastAsia" w:hAnsi="Cambria Math" w:cs="Times New Roman"/>
            <w:sz w:val="28"/>
            <w:szCs w:val="28"/>
          </w:rPr>
          <m:t>τ</m:t>
        </m:r>
      </m:oMath>
      <w:r w:rsidR="00905999">
        <w:rPr>
          <w:rFonts w:ascii="Times New Roman" w:eastAsiaTheme="minorEastAsia" w:hAnsi="Times New Roman" w:cs="Times New Roman"/>
          <w:sz w:val="28"/>
          <w:szCs w:val="28"/>
        </w:rPr>
        <w:t xml:space="preserve"> </w:t>
      </w:r>
      <w:r w:rsidR="00905999" w:rsidRPr="00905999">
        <w:rPr>
          <w:rFonts w:ascii="Times New Roman" w:eastAsiaTheme="minorEastAsia" w:hAnsi="Times New Roman" w:cs="Times New Roman"/>
          <w:sz w:val="28"/>
          <w:szCs w:val="28"/>
        </w:rPr>
        <w:t xml:space="preserve">как </w:t>
      </w:r>
      <w:r w:rsidR="00905999">
        <w:rPr>
          <w:rFonts w:ascii="Times New Roman" w:eastAsiaTheme="minorEastAsia" w:hAnsi="Times New Roman" w:cs="Times New Roman"/>
          <w:sz w:val="28"/>
          <w:szCs w:val="28"/>
        </w:rPr>
        <w:t>случайную величину, описывающую момент времени в годах, в который происходит смерть агента. Тогда по определению интенсивности смертности:</w:t>
      </w:r>
    </w:p>
    <w:p w:rsidR="00905999" w:rsidRPr="00905999" w:rsidRDefault="002B752D" w:rsidP="00C93241">
      <w:pPr>
        <w:spacing w:line="360" w:lineRule="auto"/>
        <w:jc w:val="both"/>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r>
                <m:rPr>
                  <m:sty m:val="p"/>
                </m:rPr>
                <w:rPr>
                  <w:rFonts w:ascii="Cambria Math" w:eastAsiaTheme="minorEastAsia" w:hAnsi="Cambria Math" w:cs="Times New Roman"/>
                  <w:sz w:val="28"/>
                  <w:szCs w:val="28"/>
                </w:rPr>
                <m:t>Ρ</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τ&gt;t</m:t>
                  </m:r>
                </m:e>
              </m:d>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m:t>
                  </m:r>
                  <m:nary>
                    <m:naryPr>
                      <m:limLoc m:val="subSup"/>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t</m:t>
                      </m:r>
                    </m:sup>
                    <m:e>
                      <m:r>
                        <w:rPr>
                          <w:rFonts w:ascii="Cambria Math" w:eastAsiaTheme="minorEastAsia" w:hAnsi="Cambria Math" w:cs="Times New Roman"/>
                          <w:sz w:val="28"/>
                          <w:szCs w:val="28"/>
                        </w:rPr>
                        <m:t>μ</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s</m:t>
                              </m:r>
                            </m:sub>
                          </m:sSub>
                        </m:e>
                      </m:d>
                      <m:r>
                        <w:rPr>
                          <w:rFonts w:ascii="Cambria Math" w:eastAsiaTheme="minorEastAsia" w:hAnsi="Cambria Math" w:cs="Times New Roman"/>
                          <w:sz w:val="28"/>
                          <w:szCs w:val="28"/>
                        </w:rPr>
                        <m:t>ds</m:t>
                      </m:r>
                    </m:e>
                  </m:nary>
                </m:sup>
              </m:sSup>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4</m:t>
                  </m:r>
                </m:e>
              </m:d>
            </m:e>
          </m:eqArr>
        </m:oMath>
      </m:oMathPara>
    </w:p>
    <w:p w:rsidR="00E00A5B" w:rsidRPr="00905999" w:rsidRDefault="00905999" w:rsidP="00C93241">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Из формулы </w:t>
      </w:r>
      <m:oMath>
        <m:r>
          <w:rPr>
            <w:rFonts w:ascii="Cambria Math" w:eastAsiaTheme="minorEastAsia" w:hAnsi="Cambria Math" w:cs="Times New Roman"/>
            <w:sz w:val="28"/>
            <w:szCs w:val="28"/>
          </w:rPr>
          <m:t>(4)</m:t>
        </m:r>
      </m:oMath>
      <w:r>
        <w:rPr>
          <w:rFonts w:ascii="Times New Roman" w:eastAsiaTheme="minorEastAsia" w:hAnsi="Times New Roman" w:cs="Times New Roman"/>
          <w:sz w:val="28"/>
          <w:szCs w:val="28"/>
        </w:rPr>
        <w:t xml:space="preserve"> также следует аппроксимация связи </w:t>
      </w:r>
      <m:oMath>
        <m:r>
          <w:rPr>
            <w:rFonts w:ascii="Cambria Math" w:eastAsiaTheme="minorEastAsia" w:hAnsi="Cambria Math" w:cs="Times New Roman"/>
            <w:sz w:val="28"/>
            <w:szCs w:val="28"/>
          </w:rPr>
          <m:t>μ(</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с годовой вероятностью смерти</w:t>
      </w:r>
      <w:r w:rsidRPr="00905999">
        <w:rPr>
          <w:rFonts w:ascii="Times New Roman" w:eastAsiaTheme="minorEastAsia" w:hAnsi="Times New Roman" w:cs="Times New Roman"/>
          <w:sz w:val="28"/>
          <w:szCs w:val="28"/>
        </w:rPr>
        <w:t>:</w:t>
      </w:r>
    </w:p>
    <w:p w:rsidR="00905999" w:rsidRPr="00905999" w:rsidRDefault="002B752D" w:rsidP="00C93241">
      <w:pPr>
        <w:spacing w:line="360" w:lineRule="auto"/>
        <w:jc w:val="both"/>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r>
                <w:rPr>
                  <w:rFonts w:ascii="Cambria Math" w:hAnsi="Cambria Math" w:cs="Times New Roman"/>
                  <w:sz w:val="28"/>
                  <w:szCs w:val="28"/>
                </w:rPr>
                <m:t>q</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e>
              </m:d>
              <m:r>
                <w:rPr>
                  <w:rFonts w:ascii="Cambria Math" w:hAnsi="Cambria Math" w:cs="Times New Roman"/>
                  <w:sz w:val="28"/>
                  <w:szCs w:val="28"/>
                </w:rPr>
                <m:t>≈1-</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m:t>
                  </m:r>
                  <m:r>
                    <w:rPr>
                      <w:rFonts w:ascii="Cambria Math" w:eastAsiaTheme="minorEastAsia" w:hAnsi="Cambria Math" w:cs="Times New Roman"/>
                      <w:sz w:val="28"/>
                      <w:szCs w:val="28"/>
                    </w:rPr>
                    <m:t>μ</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t</m:t>
                          </m:r>
                        </m:sub>
                      </m:sSub>
                    </m:e>
                  </m:d>
                </m:sup>
              </m:sSup>
              <m:r>
                <w:rPr>
                  <w:rFonts w:ascii="Cambria Math" w:eastAsiaTheme="minorEastAsia" w:hAnsi="Cambria Math" w:cs="Times New Roman"/>
                  <w:sz w:val="28"/>
                  <w:szCs w:val="28"/>
                </w:rPr>
                <m:t>.</m:t>
              </m:r>
              <m:r>
                <w:rPr>
                  <w:rFonts w:ascii="Cambria Math"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5</m:t>
                  </m:r>
                </m:e>
              </m:d>
              <m:ctrlPr>
                <w:rPr>
                  <w:rFonts w:ascii="Cambria Math" w:hAnsi="Cambria Math" w:cs="Times New Roman"/>
                  <w:i/>
                  <w:sz w:val="28"/>
                  <w:szCs w:val="28"/>
                </w:rPr>
              </m:ctrlPr>
            </m:e>
          </m:eqArr>
        </m:oMath>
      </m:oMathPara>
    </w:p>
    <w:p w:rsidR="00905999" w:rsidRDefault="00905999" w:rsidP="00C93241">
      <w:pPr>
        <w:spacing w:line="360" w:lineRule="auto"/>
        <w:jc w:val="both"/>
        <w:rPr>
          <w:rFonts w:ascii="Times New Roman" w:eastAsiaTheme="minorEastAsia" w:hAnsi="Times New Roman" w:cs="Times New Roman"/>
          <w:sz w:val="28"/>
          <w:szCs w:val="28"/>
        </w:rPr>
      </w:pPr>
    </w:p>
    <w:p w:rsidR="00905999" w:rsidRDefault="006E690B" w:rsidP="00C93241">
      <w:pPr>
        <w:spacing w:line="360" w:lineRule="auto"/>
        <w:jc w:val="both"/>
        <w:rPr>
          <w:rFonts w:ascii="Times New Roman" w:eastAsiaTheme="minorEastAsia" w:hAnsi="Times New Roman" w:cs="Times New Roman"/>
          <w:sz w:val="28"/>
          <w:szCs w:val="28"/>
        </w:rPr>
      </w:pPr>
      <w:r w:rsidRPr="006E690B">
        <w:rPr>
          <w:rFonts w:ascii="Times New Roman" w:hAnsi="Times New Roman" w:cs="Times New Roman"/>
          <w:sz w:val="28"/>
          <w:szCs w:val="28"/>
        </w:rPr>
        <w:t xml:space="preserve">Как отмечают в своем исследовании </w:t>
      </w:r>
      <w:proofErr w:type="spellStart"/>
      <w:r w:rsidRPr="006E690B">
        <w:rPr>
          <w:rFonts w:ascii="Times New Roman" w:hAnsi="Times New Roman" w:cs="Times New Roman"/>
          <w:sz w:val="28"/>
          <w:szCs w:val="28"/>
        </w:rPr>
        <w:t>Katia</w:t>
      </w:r>
      <w:proofErr w:type="spellEnd"/>
      <w:r w:rsidRPr="006E690B">
        <w:rPr>
          <w:rFonts w:ascii="Times New Roman" w:hAnsi="Times New Roman" w:cs="Times New Roman"/>
          <w:sz w:val="28"/>
          <w:szCs w:val="28"/>
        </w:rPr>
        <w:t xml:space="preserve"> </w:t>
      </w:r>
      <w:proofErr w:type="spellStart"/>
      <w:r w:rsidRPr="006E690B">
        <w:rPr>
          <w:rFonts w:ascii="Times New Roman" w:hAnsi="Times New Roman" w:cs="Times New Roman"/>
          <w:sz w:val="28"/>
          <w:szCs w:val="28"/>
        </w:rPr>
        <w:t>Colaneri</w:t>
      </w:r>
      <w:proofErr w:type="spellEnd"/>
      <w:r>
        <w:rPr>
          <w:rFonts w:ascii="Times New Roman" w:hAnsi="Times New Roman" w:cs="Times New Roman"/>
          <w:sz w:val="28"/>
          <w:szCs w:val="28"/>
        </w:rPr>
        <w:t xml:space="preserve">, </w:t>
      </w:r>
      <w:proofErr w:type="spellStart"/>
      <w:r w:rsidRPr="006E690B">
        <w:rPr>
          <w:rFonts w:ascii="Times New Roman" w:hAnsi="Times New Roman" w:cs="Times New Roman"/>
          <w:sz w:val="28"/>
          <w:szCs w:val="28"/>
        </w:rPr>
        <w:t>Alessandra</w:t>
      </w:r>
      <w:proofErr w:type="spellEnd"/>
      <w:r w:rsidRPr="006E690B">
        <w:rPr>
          <w:rFonts w:ascii="Times New Roman" w:hAnsi="Times New Roman" w:cs="Times New Roman"/>
          <w:sz w:val="28"/>
          <w:szCs w:val="28"/>
        </w:rPr>
        <w:t xml:space="preserve"> </w:t>
      </w:r>
      <w:proofErr w:type="spellStart"/>
      <w:r w:rsidRPr="006E690B">
        <w:rPr>
          <w:rFonts w:ascii="Times New Roman" w:hAnsi="Times New Roman" w:cs="Times New Roman"/>
          <w:sz w:val="28"/>
          <w:szCs w:val="28"/>
        </w:rPr>
        <w:t>Cretarola</w:t>
      </w:r>
      <w:proofErr w:type="spellEnd"/>
      <w:r>
        <w:rPr>
          <w:rFonts w:ascii="Times New Roman" w:hAnsi="Times New Roman" w:cs="Times New Roman"/>
          <w:sz w:val="28"/>
          <w:szCs w:val="28"/>
        </w:rPr>
        <w:t xml:space="preserve">, </w:t>
      </w:r>
      <w:proofErr w:type="spellStart"/>
      <w:r w:rsidRPr="006E690B">
        <w:rPr>
          <w:rFonts w:ascii="Times New Roman" w:hAnsi="Times New Roman" w:cs="Times New Roman"/>
          <w:sz w:val="28"/>
          <w:szCs w:val="28"/>
        </w:rPr>
        <w:t>Edoardo</w:t>
      </w:r>
      <w:proofErr w:type="spellEnd"/>
      <w:r w:rsidRPr="006E690B">
        <w:rPr>
          <w:rFonts w:ascii="Times New Roman" w:hAnsi="Times New Roman" w:cs="Times New Roman"/>
          <w:sz w:val="28"/>
          <w:szCs w:val="28"/>
        </w:rPr>
        <w:t xml:space="preserve"> </w:t>
      </w:r>
      <w:proofErr w:type="spellStart"/>
      <w:r w:rsidRPr="006E690B">
        <w:rPr>
          <w:rFonts w:ascii="Times New Roman" w:hAnsi="Times New Roman" w:cs="Times New Roman"/>
          <w:sz w:val="28"/>
          <w:szCs w:val="28"/>
        </w:rPr>
        <w:t>Lombardo</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Daniele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Mancinelli</w:t>
      </w:r>
      <w:proofErr w:type="spellEnd"/>
      <w:r>
        <w:rPr>
          <w:rFonts w:ascii="Times New Roman" w:hAnsi="Times New Roman" w:cs="Times New Roman"/>
          <w:sz w:val="28"/>
          <w:szCs w:val="28"/>
        </w:rPr>
        <w:t xml:space="preserve">: если определить смертность населения как актив (путем введения функции полезности жизни или иными подходами), то такой рынок окажется неполным, так как нельзя сформировать реплицирующий портфель активов для любого агента согласованным образом. Как следствие, </w:t>
      </w:r>
      <w:proofErr w:type="spellStart"/>
      <w:r>
        <w:rPr>
          <w:rFonts w:ascii="Times New Roman" w:hAnsi="Times New Roman" w:cs="Times New Roman"/>
          <w:sz w:val="28"/>
          <w:szCs w:val="28"/>
        </w:rPr>
        <w:t>мартингальная</w:t>
      </w:r>
      <w:proofErr w:type="spellEnd"/>
      <w:r>
        <w:rPr>
          <w:rFonts w:ascii="Times New Roman" w:hAnsi="Times New Roman" w:cs="Times New Roman"/>
          <w:sz w:val="28"/>
          <w:szCs w:val="28"/>
        </w:rPr>
        <w:t xml:space="preserve"> вероятностная мера является не единственной. </w:t>
      </w:r>
      <w:r w:rsidR="00972664">
        <w:rPr>
          <w:rFonts w:ascii="Times New Roman" w:hAnsi="Times New Roman" w:cs="Times New Roman"/>
          <w:sz w:val="28"/>
          <w:szCs w:val="28"/>
        </w:rPr>
        <w:t>Предполагается, что страховые компании</w:t>
      </w:r>
      <w:r>
        <w:rPr>
          <w:rFonts w:ascii="Times New Roman" w:hAnsi="Times New Roman" w:cs="Times New Roman"/>
          <w:sz w:val="28"/>
          <w:szCs w:val="28"/>
        </w:rPr>
        <w:t xml:space="preserve"> при </w:t>
      </w:r>
      <w:r w:rsidR="00972664">
        <w:rPr>
          <w:rFonts w:ascii="Times New Roman" w:hAnsi="Times New Roman" w:cs="Times New Roman"/>
          <w:sz w:val="28"/>
          <w:szCs w:val="28"/>
        </w:rPr>
        <w:t xml:space="preserve">заключении </w:t>
      </w:r>
      <w:r w:rsidR="00972664">
        <w:rPr>
          <w:rFonts w:ascii="Times New Roman" w:hAnsi="Times New Roman" w:cs="Times New Roman"/>
          <w:sz w:val="28"/>
          <w:szCs w:val="28"/>
        </w:rPr>
        <w:lastRenderedPageBreak/>
        <w:t>договора ДСЖ оцениваю</w:t>
      </w:r>
      <w:r>
        <w:rPr>
          <w:rFonts w:ascii="Times New Roman" w:hAnsi="Times New Roman" w:cs="Times New Roman"/>
          <w:sz w:val="28"/>
          <w:szCs w:val="28"/>
        </w:rPr>
        <w:t xml:space="preserve">т распределение </w:t>
      </w:r>
      <m:oMath>
        <m:r>
          <w:rPr>
            <w:rFonts w:ascii="Cambria Math" w:eastAsiaTheme="minorEastAsia" w:hAnsi="Cambria Math" w:cs="Times New Roman"/>
            <w:sz w:val="28"/>
            <w:szCs w:val="28"/>
          </w:rPr>
          <m:t>τ</m:t>
        </m:r>
      </m:oMath>
      <w:r>
        <w:rPr>
          <w:rFonts w:ascii="Times New Roman" w:eastAsiaTheme="minorEastAsia" w:hAnsi="Times New Roman" w:cs="Times New Roman"/>
          <w:sz w:val="28"/>
          <w:szCs w:val="28"/>
        </w:rPr>
        <w:t xml:space="preserve"> </w:t>
      </w:r>
      <w:r w:rsidR="00972664">
        <w:rPr>
          <w:rFonts w:ascii="Times New Roman" w:eastAsiaTheme="minorEastAsia" w:hAnsi="Times New Roman" w:cs="Times New Roman"/>
          <w:sz w:val="28"/>
          <w:szCs w:val="28"/>
        </w:rPr>
        <w:t>для каждого агента в индивидуальном порядке на основе того или иного множества факторов. Дополнительно предположим, что динамика фондового рынка и смертность населения – взаимно независимые процессы. Тогда справедливую стоимость ДСЖ можно определить при помощи совместного использования двух вероятностных мер</w:t>
      </w:r>
      <w:r w:rsidR="00972664" w:rsidRPr="00972664">
        <w:rPr>
          <w:rFonts w:ascii="Times New Roman" w:eastAsiaTheme="minorEastAsia" w:hAnsi="Times New Roman" w:cs="Times New Roman"/>
          <w:sz w:val="28"/>
          <w:szCs w:val="28"/>
        </w:rPr>
        <w:t xml:space="preserve">: </w:t>
      </w:r>
      <w:r w:rsidR="00972664">
        <w:rPr>
          <w:rFonts w:ascii="Times New Roman" w:eastAsiaTheme="minorEastAsia" w:hAnsi="Times New Roman" w:cs="Times New Roman"/>
          <w:sz w:val="28"/>
          <w:szCs w:val="28"/>
        </w:rPr>
        <w:t>риск-нейтральной (</w:t>
      </w:r>
      <m:oMath>
        <m:r>
          <m:rPr>
            <m:scr m:val="double-struck"/>
          </m:rPr>
          <w:rPr>
            <w:rFonts w:ascii="Cambria Math" w:eastAsiaTheme="minorEastAsia" w:hAnsi="Cambria Math" w:cs="Times New Roman"/>
            <w:sz w:val="28"/>
            <w:szCs w:val="28"/>
          </w:rPr>
          <m:t>Q</m:t>
        </m:r>
      </m:oMath>
      <w:r w:rsidR="00972664">
        <w:rPr>
          <w:rFonts w:ascii="Times New Roman" w:eastAsiaTheme="minorEastAsia" w:hAnsi="Times New Roman" w:cs="Times New Roman"/>
          <w:sz w:val="28"/>
          <w:szCs w:val="28"/>
        </w:rPr>
        <w:t>) и физической (</w:t>
      </w:r>
      <m:oMath>
        <m:r>
          <m:rPr>
            <m:scr m:val="double-struck"/>
          </m:rPr>
          <w:rPr>
            <w:rFonts w:ascii="Cambria Math" w:eastAsiaTheme="minorEastAsia" w:hAnsi="Cambria Math" w:cs="Times New Roman"/>
            <w:sz w:val="28"/>
            <w:szCs w:val="28"/>
          </w:rPr>
          <m:t>P</m:t>
        </m:r>
      </m:oMath>
      <w:r w:rsidR="00972664">
        <w:rPr>
          <w:rFonts w:ascii="Times New Roman" w:eastAsiaTheme="minorEastAsia" w:hAnsi="Times New Roman" w:cs="Times New Roman"/>
          <w:sz w:val="28"/>
          <w:szCs w:val="28"/>
        </w:rPr>
        <w:t xml:space="preserve">). Риск-нейтральная динамика </w:t>
      </w:r>
      <m:oMath>
        <m:r>
          <w:rPr>
            <w:rFonts w:ascii="Cambria Math" w:eastAsiaTheme="minorEastAsia" w:hAnsi="Cambria Math" w:cs="Times New Roman"/>
            <w:sz w:val="28"/>
            <w:szCs w:val="28"/>
          </w:rPr>
          <m:t>(3)</m:t>
        </m:r>
      </m:oMath>
      <w:r w:rsidR="00972664">
        <w:rPr>
          <w:rFonts w:ascii="Times New Roman" w:eastAsiaTheme="minorEastAsia" w:hAnsi="Times New Roman" w:cs="Times New Roman"/>
          <w:sz w:val="28"/>
          <w:szCs w:val="28"/>
        </w:rPr>
        <w:t xml:space="preserve"> определяется следующим образом:</w:t>
      </w:r>
    </w:p>
    <w:p w:rsidR="00972664" w:rsidRPr="00972664" w:rsidRDefault="002B752D" w:rsidP="00C93241">
      <w:pPr>
        <w:spacing w:line="360" w:lineRule="auto"/>
        <w:jc w:val="both"/>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hAnsi="Cambria Math" w:cs="Times New Roman"/>
                  <w:sz w:val="28"/>
                  <w:szCs w:val="28"/>
                </w:rPr>
                <m:t>d</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m:t>
                  </m:r>
                </m:sub>
              </m:sSub>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r>
                <w:rPr>
                  <w:rFonts w:ascii="Cambria Math" w:hAnsi="Cambria Math" w:cs="Times New Roman"/>
                  <w:sz w:val="28"/>
                  <w:szCs w:val="28"/>
                </w:rPr>
                <m:t>dt+</m:t>
              </m:r>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0</m:t>
                  </m:r>
                </m:sub>
              </m:sSub>
              <m:sSubSup>
                <m:sSubSupPr>
                  <m:ctrlPr>
                    <w:rPr>
                      <w:rFonts w:ascii="Cambria Math" w:hAnsi="Cambria Math" w:cs="Times New Roman"/>
                      <w:i/>
                      <w:sz w:val="28"/>
                      <w:szCs w:val="28"/>
                    </w:rPr>
                  </m:ctrlPr>
                </m:sSubSupPr>
                <m:e>
                  <m:r>
                    <w:rPr>
                      <w:rFonts w:ascii="Cambria Math" w:hAnsi="Cambria Math" w:cs="Times New Roman"/>
                      <w:sz w:val="28"/>
                      <w:szCs w:val="28"/>
                    </w:rPr>
                    <m:t>S</m:t>
                  </m:r>
                </m:e>
                <m:sub>
                  <m:r>
                    <w:rPr>
                      <w:rFonts w:ascii="Cambria Math" w:hAnsi="Cambria Math" w:cs="Times New Roman"/>
                      <w:sz w:val="28"/>
                      <w:szCs w:val="28"/>
                    </w:rPr>
                    <m:t>t</m:t>
                  </m:r>
                </m:sub>
                <m:sup>
                  <m:r>
                    <w:rPr>
                      <w:rFonts w:ascii="Cambria Math" w:hAnsi="Cambria Math" w:cs="Times New Roman"/>
                      <w:sz w:val="28"/>
                      <w:szCs w:val="28"/>
                    </w:rPr>
                    <m:t>β</m:t>
                  </m:r>
                </m:sup>
              </m:sSubSup>
              <m:r>
                <w:rPr>
                  <w:rFonts w:ascii="Cambria Math" w:hAnsi="Cambria Math" w:cs="Times New Roman"/>
                  <w:sz w:val="28"/>
                  <w:szCs w:val="28"/>
                </w:rPr>
                <m:t>d</m:t>
              </m:r>
              <m:sSubSup>
                <m:sSubSupPr>
                  <m:ctrlPr>
                    <w:rPr>
                      <w:rFonts w:ascii="Cambria Math" w:hAnsi="Cambria Math" w:cs="Times New Roman"/>
                      <w:i/>
                      <w:sz w:val="28"/>
                      <w:szCs w:val="28"/>
                    </w:rPr>
                  </m:ctrlPr>
                </m:sSubSupPr>
                <m:e>
                  <m:r>
                    <w:rPr>
                      <w:rFonts w:ascii="Cambria Math" w:hAnsi="Cambria Math" w:cs="Times New Roman"/>
                      <w:sz w:val="28"/>
                      <w:szCs w:val="28"/>
                    </w:rPr>
                    <m:t>W</m:t>
                  </m:r>
                </m:e>
                <m:sub>
                  <m:r>
                    <w:rPr>
                      <w:rFonts w:ascii="Cambria Math" w:hAnsi="Cambria Math" w:cs="Times New Roman"/>
                      <w:sz w:val="28"/>
                      <w:szCs w:val="28"/>
                    </w:rPr>
                    <m:t>t</m:t>
                  </m:r>
                </m:sub>
                <m:sup>
                  <m:r>
                    <m:rPr>
                      <m:scr m:val="double-struck"/>
                    </m:rPr>
                    <w:rPr>
                      <w:rFonts w:ascii="Cambria Math" w:eastAsiaTheme="minorEastAsia" w:hAnsi="Cambria Math" w:cs="Times New Roman"/>
                      <w:sz w:val="28"/>
                      <w:szCs w:val="28"/>
                    </w:rPr>
                    <m:t>Q</m:t>
                  </m:r>
                </m:sup>
              </m:sSubSup>
              <m:r>
                <w:rPr>
                  <w:rFonts w:ascii="Cambria Math" w:hAnsi="Cambria Math" w:cs="Times New Roman"/>
                  <w:sz w:val="28"/>
                  <w:szCs w:val="28"/>
                  <w:lang w:val="en-US"/>
                </w:rPr>
                <m:t>,</m:t>
              </m:r>
              <m:r>
                <w:rPr>
                  <w:rFonts w:ascii="Cambria Math"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6</m:t>
                  </m:r>
                </m:e>
              </m:d>
              <m:ctrlPr>
                <w:rPr>
                  <w:rFonts w:ascii="Cambria Math" w:hAnsi="Cambria Math" w:cs="Times New Roman"/>
                  <w:i/>
                  <w:sz w:val="28"/>
                  <w:szCs w:val="28"/>
                </w:rPr>
              </m:ctrlPr>
            </m:e>
          </m:eqArr>
        </m:oMath>
      </m:oMathPara>
    </w:p>
    <w:p w:rsidR="00972664" w:rsidRDefault="00972664" w:rsidP="00C93241">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t</m:t>
            </m:r>
          </m:sub>
        </m:sSub>
      </m:oMath>
      <w:r>
        <w:rPr>
          <w:rFonts w:ascii="Times New Roman" w:eastAsiaTheme="minorEastAsia" w:hAnsi="Times New Roman" w:cs="Times New Roman"/>
          <w:sz w:val="28"/>
          <w:szCs w:val="28"/>
        </w:rPr>
        <w:t xml:space="preserve"> – безрисковая ставка доходности.</w:t>
      </w:r>
    </w:p>
    <w:p w:rsidR="00972664" w:rsidRDefault="00972664" w:rsidP="00C93241">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Пусть справедливая стоимость</w:t>
      </w:r>
      <w:r w:rsidR="00BB227C" w:rsidRPr="00BB227C">
        <w:rPr>
          <w:rFonts w:ascii="Times New Roman" w:eastAsiaTheme="minorEastAsia" w:hAnsi="Times New Roman" w:cs="Times New Roman"/>
          <w:sz w:val="28"/>
          <w:szCs w:val="28"/>
        </w:rPr>
        <w:t xml:space="preserve"> ДСЖ</w:t>
      </w:r>
      <w:r w:rsidRPr="0097266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в момент времени </w:t>
      </w:r>
      <m:oMath>
        <m:r>
          <w:rPr>
            <w:rFonts w:ascii="Cambria Math" w:eastAsiaTheme="minorEastAsia" w:hAnsi="Cambria Math" w:cs="Times New Roman"/>
            <w:sz w:val="28"/>
            <w:szCs w:val="28"/>
          </w:rPr>
          <m:t>t</m:t>
        </m:r>
      </m:oMath>
      <w:r>
        <w:rPr>
          <w:rFonts w:ascii="Times New Roman" w:eastAsiaTheme="minorEastAsia" w:hAnsi="Times New Roman" w:cs="Times New Roman"/>
          <w:sz w:val="28"/>
          <w:szCs w:val="28"/>
        </w:rPr>
        <w:t xml:space="preserve"> равна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t</m:t>
            </m:r>
          </m:sub>
        </m:sSub>
      </m:oMath>
      <w:r>
        <w:rPr>
          <w:rFonts w:ascii="Times New Roman" w:eastAsiaTheme="minorEastAsia" w:hAnsi="Times New Roman" w:cs="Times New Roman"/>
          <w:sz w:val="28"/>
          <w:szCs w:val="28"/>
        </w:rPr>
        <w:t xml:space="preserve">. </w:t>
      </w:r>
      <w:r w:rsidR="00BB227C">
        <w:rPr>
          <w:rFonts w:ascii="Times New Roman" w:eastAsiaTheme="minorEastAsia" w:hAnsi="Times New Roman" w:cs="Times New Roman"/>
          <w:sz w:val="28"/>
          <w:szCs w:val="28"/>
        </w:rPr>
        <w:t xml:space="preserve">Для определенности предположим, что агент совершает единовременный взнос в размере </w:t>
      </w:r>
      <m:oMath>
        <m:r>
          <w:rPr>
            <w:rFonts w:ascii="Cambria Math" w:eastAsiaTheme="minorEastAsia" w:hAnsi="Cambria Math" w:cs="Times New Roman"/>
            <w:sz w:val="28"/>
            <w:szCs w:val="28"/>
          </w:rPr>
          <m:t>N</m:t>
        </m:r>
      </m:oMath>
      <w:r w:rsidR="00BB227C" w:rsidRPr="00BB227C">
        <w:rPr>
          <w:rFonts w:ascii="Times New Roman" w:eastAsiaTheme="minorEastAsia" w:hAnsi="Times New Roman" w:cs="Times New Roman"/>
          <w:sz w:val="28"/>
          <w:szCs w:val="28"/>
        </w:rPr>
        <w:t xml:space="preserve"> </w:t>
      </w:r>
      <w:r w:rsidR="00BB227C">
        <w:rPr>
          <w:rFonts w:ascii="Times New Roman" w:eastAsiaTheme="minorEastAsia" w:hAnsi="Times New Roman" w:cs="Times New Roman"/>
          <w:sz w:val="28"/>
          <w:szCs w:val="28"/>
        </w:rPr>
        <w:t xml:space="preserve">в момент заключения договора (в момент времени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0</m:t>
            </m:r>
          </m:sub>
        </m:sSub>
      </m:oMath>
      <w:r w:rsidR="00BB227C">
        <w:rPr>
          <w:rFonts w:ascii="Times New Roman" w:eastAsiaTheme="minorEastAsia" w:hAnsi="Times New Roman" w:cs="Times New Roman"/>
          <w:sz w:val="28"/>
          <w:szCs w:val="28"/>
        </w:rPr>
        <w:t>).</w:t>
      </w:r>
      <w:r w:rsidR="00BB227C" w:rsidRPr="00BB227C">
        <w:rPr>
          <w:rFonts w:ascii="Times New Roman" w:eastAsiaTheme="minorEastAsia" w:hAnsi="Times New Roman" w:cs="Times New Roman"/>
          <w:sz w:val="28"/>
          <w:szCs w:val="28"/>
        </w:rPr>
        <w:t xml:space="preserve"> </w:t>
      </w:r>
      <w:r w:rsidR="00BB227C">
        <w:rPr>
          <w:rFonts w:ascii="Times New Roman" w:eastAsiaTheme="minorEastAsia" w:hAnsi="Times New Roman" w:cs="Times New Roman"/>
          <w:sz w:val="28"/>
          <w:szCs w:val="28"/>
        </w:rPr>
        <w:t xml:space="preserve">Зафиксируем коэффициент </w:t>
      </w:r>
      <m:oMath>
        <m:r>
          <w:rPr>
            <w:rFonts w:ascii="Cambria Math" w:eastAsiaTheme="minorEastAsia" w:hAnsi="Cambria Math" w:cs="Times New Roman"/>
            <w:sz w:val="28"/>
            <w:szCs w:val="28"/>
          </w:rPr>
          <m:t>α</m:t>
        </m:r>
      </m:oMath>
      <w:r w:rsidR="00BB227C" w:rsidRPr="00BB227C">
        <w:rPr>
          <w:rFonts w:ascii="Times New Roman" w:eastAsiaTheme="minorEastAsia" w:hAnsi="Times New Roman" w:cs="Times New Roman"/>
          <w:i/>
          <w:sz w:val="28"/>
          <w:szCs w:val="28"/>
        </w:rPr>
        <w:t xml:space="preserve"> </w:t>
      </w:r>
      <w:r w:rsidR="00BB227C" w:rsidRPr="00BB227C">
        <w:rPr>
          <w:rFonts w:ascii="Times New Roman" w:eastAsiaTheme="minorEastAsia" w:hAnsi="Times New Roman" w:cs="Times New Roman"/>
          <w:sz w:val="28"/>
          <w:szCs w:val="28"/>
        </w:rPr>
        <w:t xml:space="preserve">– </w:t>
      </w:r>
      <w:r w:rsidR="00BB227C">
        <w:rPr>
          <w:rFonts w:ascii="Times New Roman" w:eastAsiaTheme="minorEastAsia" w:hAnsi="Times New Roman" w:cs="Times New Roman"/>
          <w:sz w:val="28"/>
          <w:szCs w:val="28"/>
        </w:rPr>
        <w:t>долю, которая приходуется инвестиционную часть вложений, соответственно, (</w:t>
      </w:r>
      <m:oMath>
        <m:r>
          <w:rPr>
            <w:rFonts w:ascii="Cambria Math" w:eastAsiaTheme="minorEastAsia" w:hAnsi="Cambria Math" w:cs="Times New Roman"/>
            <w:sz w:val="28"/>
            <w:szCs w:val="28"/>
          </w:rPr>
          <m:t>1- α</m:t>
        </m:r>
      </m:oMath>
      <w:r w:rsidR="00BB227C">
        <w:rPr>
          <w:rFonts w:ascii="Times New Roman" w:eastAsiaTheme="minorEastAsia" w:hAnsi="Times New Roman" w:cs="Times New Roman"/>
          <w:sz w:val="28"/>
          <w:szCs w:val="28"/>
        </w:rPr>
        <w:t xml:space="preserve">) </w:t>
      </w:r>
      <w:r w:rsidR="00BB227C" w:rsidRPr="00BB227C">
        <w:rPr>
          <w:rFonts w:ascii="Times New Roman" w:eastAsiaTheme="minorEastAsia" w:hAnsi="Times New Roman" w:cs="Times New Roman"/>
          <w:sz w:val="28"/>
          <w:szCs w:val="28"/>
        </w:rPr>
        <w:t xml:space="preserve">– </w:t>
      </w:r>
      <w:r w:rsidR="00BB227C">
        <w:rPr>
          <w:rFonts w:ascii="Times New Roman" w:eastAsiaTheme="minorEastAsia" w:hAnsi="Times New Roman" w:cs="Times New Roman"/>
          <w:sz w:val="28"/>
          <w:szCs w:val="28"/>
        </w:rPr>
        <w:t xml:space="preserve">доля взноса, идущая на оплату страхового риска. Рассмотрим сценарий, при котором договор страхования включает только не дожитие агента до конца срока договора (до момента времени </w:t>
      </w:r>
      <m:oMath>
        <m:r>
          <w:rPr>
            <w:rFonts w:ascii="Cambria Math" w:hAnsi="Cambria Math" w:cs="Times New Roman"/>
            <w:sz w:val="28"/>
            <w:szCs w:val="28"/>
          </w:rPr>
          <m:t>T</m:t>
        </m:r>
      </m:oMath>
      <w:r w:rsidR="00BB227C">
        <w:rPr>
          <w:rFonts w:ascii="Times New Roman" w:eastAsiaTheme="minorEastAsia" w:hAnsi="Times New Roman" w:cs="Times New Roman"/>
          <w:sz w:val="28"/>
          <w:szCs w:val="28"/>
        </w:rPr>
        <w:t>)</w:t>
      </w:r>
      <w:r w:rsidR="00E55EF1">
        <w:rPr>
          <w:rFonts w:ascii="Times New Roman" w:eastAsiaTheme="minorEastAsia" w:hAnsi="Times New Roman" w:cs="Times New Roman"/>
          <w:sz w:val="28"/>
          <w:szCs w:val="28"/>
        </w:rPr>
        <w:t xml:space="preserve"> в качестве страхового случая:</w:t>
      </w:r>
    </w:p>
    <w:p w:rsidR="0077245C" w:rsidRDefault="0077245C" w:rsidP="0077245C">
      <w:pPr>
        <w:pStyle w:val="a7"/>
        <w:numPr>
          <w:ilvl w:val="0"/>
          <w:numId w:val="1"/>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Если </w:t>
      </w:r>
      <m:oMath>
        <m:r>
          <w:rPr>
            <w:rFonts w:ascii="Cambria Math" w:eastAsiaTheme="minorEastAsia" w:hAnsi="Cambria Math" w:cs="Times New Roman"/>
            <w:sz w:val="28"/>
            <w:szCs w:val="28"/>
          </w:rPr>
          <m:t>τ&gt;</m:t>
        </m:r>
        <m:r>
          <w:rPr>
            <w:rFonts w:ascii="Cambria Math" w:eastAsiaTheme="minorEastAsia" w:hAnsi="Cambria Math" w:cs="Times New Roman"/>
            <w:sz w:val="28"/>
            <w:szCs w:val="28"/>
            <w:lang w:val="en-US"/>
          </w:rPr>
          <m:t>T</m:t>
        </m:r>
      </m:oMath>
      <w:r w:rsidRPr="0077245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дожитие агента</w:t>
      </w:r>
      <w:r w:rsidRPr="0077245C">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выплата по договору равна:</w:t>
      </w:r>
    </w:p>
    <w:p w:rsidR="0077245C" w:rsidRPr="0077245C" w:rsidRDefault="002B752D" w:rsidP="0077245C">
      <w:pPr>
        <w:spacing w:line="360" w:lineRule="auto"/>
        <w:jc w:val="both"/>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αN</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0</m:t>
                          </m:r>
                        </m:sub>
                      </m:sSub>
                    </m:sub>
                  </m:sSub>
                </m:den>
              </m:f>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+G,#</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7</m:t>
                  </m:r>
                </m:e>
              </m:d>
            </m:e>
          </m:eqArr>
        </m:oMath>
      </m:oMathPara>
    </w:p>
    <w:p w:rsidR="0077245C" w:rsidRPr="0077245C" w:rsidRDefault="0077245C" w:rsidP="0077245C">
      <w:pPr>
        <w:spacing w:line="360" w:lineRule="auto"/>
        <w:jc w:val="both"/>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rPr>
          <m:t>G</m:t>
        </m:r>
      </m:oMath>
      <w:r>
        <w:rPr>
          <w:rFonts w:ascii="Times New Roman" w:eastAsiaTheme="minorEastAsia" w:hAnsi="Times New Roman" w:cs="Times New Roman"/>
          <w:sz w:val="28"/>
          <w:szCs w:val="28"/>
        </w:rPr>
        <w:t xml:space="preserve"> – гарантийная выплата, размер которой определяется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w:t>
      </w:r>
    </w:p>
    <w:p w:rsidR="0077245C" w:rsidRPr="0077245C" w:rsidRDefault="0077245C" w:rsidP="0077245C">
      <w:pPr>
        <w:pStyle w:val="a7"/>
        <w:numPr>
          <w:ilvl w:val="0"/>
          <w:numId w:val="1"/>
        </w:numPr>
        <w:spacing w:line="360" w:lineRule="auto"/>
        <w:jc w:val="both"/>
        <w:rPr>
          <w:rFonts w:ascii="Times New Roman" w:eastAsiaTheme="minorEastAsia" w:hAnsi="Times New Roman" w:cs="Times New Roman"/>
          <w:sz w:val="28"/>
          <w:szCs w:val="28"/>
        </w:rPr>
      </w:pPr>
      <w:r w:rsidRPr="0077245C">
        <w:rPr>
          <w:rFonts w:ascii="Times New Roman" w:eastAsiaTheme="minorEastAsia" w:hAnsi="Times New Roman" w:cs="Times New Roman"/>
          <w:sz w:val="28"/>
          <w:szCs w:val="28"/>
        </w:rPr>
        <w:t xml:space="preserve">Если </w:t>
      </w:r>
      <m:oMath>
        <m:r>
          <w:rPr>
            <w:rFonts w:ascii="Cambria Math" w:eastAsiaTheme="minorEastAsia" w:hAnsi="Cambria Math" w:cs="Times New Roman"/>
            <w:sz w:val="28"/>
            <w:szCs w:val="28"/>
          </w:rPr>
          <m:t>τ≤</m:t>
        </m:r>
        <m:r>
          <w:rPr>
            <w:rFonts w:ascii="Cambria Math" w:eastAsiaTheme="minorEastAsia" w:hAnsi="Cambria Math" w:cs="Times New Roman"/>
            <w:sz w:val="28"/>
            <w:szCs w:val="28"/>
            <w:lang w:val="en-US"/>
          </w:rPr>
          <m:t>T</m:t>
        </m:r>
      </m:oMath>
      <w:r w:rsidRPr="0077245C">
        <w:rPr>
          <w:rFonts w:ascii="Times New Roman" w:eastAsiaTheme="minorEastAsia" w:hAnsi="Times New Roman" w:cs="Times New Roman"/>
          <w:sz w:val="28"/>
          <w:szCs w:val="28"/>
        </w:rPr>
        <w:t xml:space="preserve"> (не дожитие агента), выплата по договору равна:</w:t>
      </w:r>
    </w:p>
    <w:p w:rsidR="0077245C" w:rsidRPr="0077245C" w:rsidRDefault="002B752D" w:rsidP="0077245C">
      <w:pPr>
        <w:spacing w:line="360" w:lineRule="auto"/>
        <w:jc w:val="both"/>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τ</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αN</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0</m:t>
                          </m:r>
                        </m:sub>
                      </m:sSub>
                    </m:sub>
                  </m:sSub>
                </m:den>
              </m:f>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τ</m:t>
                  </m:r>
                </m:sub>
              </m:sSub>
              <m:r>
                <w:rPr>
                  <w:rFonts w:ascii="Cambria Math" w:eastAsiaTheme="minorEastAsia" w:hAnsi="Cambria Math" w:cs="Times New Roman"/>
                  <w:sz w:val="28"/>
                  <w:szCs w:val="28"/>
                </w:rPr>
                <m:t>+B,#</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8</m:t>
                  </m:r>
                </m:e>
              </m:d>
            </m:e>
          </m:eqArr>
        </m:oMath>
      </m:oMathPara>
    </w:p>
    <w:p w:rsidR="0077245C" w:rsidRDefault="0077245C" w:rsidP="0077245C">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r>
          <w:rPr>
            <w:rFonts w:ascii="Cambria Math" w:eastAsiaTheme="minorEastAsia" w:hAnsi="Cambria Math" w:cs="Times New Roman"/>
            <w:sz w:val="28"/>
            <w:szCs w:val="28"/>
          </w:rPr>
          <m:t>B</m:t>
        </m:r>
      </m:oMath>
      <w:r>
        <w:rPr>
          <w:rFonts w:ascii="Times New Roman" w:eastAsiaTheme="minorEastAsia" w:hAnsi="Times New Roman" w:cs="Times New Roman"/>
          <w:sz w:val="28"/>
          <w:szCs w:val="28"/>
        </w:rPr>
        <w:t xml:space="preserve"> – страховая выплата, размер которой определяется в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w:t>
      </w:r>
      <w:r w:rsidR="00836FE3">
        <w:rPr>
          <w:rFonts w:ascii="Times New Roman" w:eastAsiaTheme="minorEastAsia" w:hAnsi="Times New Roman" w:cs="Times New Roman"/>
          <w:sz w:val="28"/>
          <w:szCs w:val="28"/>
        </w:rPr>
        <w:t xml:space="preserve"> Предположив линейную структуру страховой выплаты от начального взноса, </w:t>
      </w:r>
      <m:oMath>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8</m:t>
            </m:r>
          </m:e>
        </m:d>
      </m:oMath>
      <w:r w:rsidR="00836FE3">
        <w:rPr>
          <w:rFonts w:ascii="Times New Roman" w:eastAsiaTheme="minorEastAsia" w:hAnsi="Times New Roman" w:cs="Times New Roman"/>
          <w:sz w:val="28"/>
          <w:szCs w:val="28"/>
        </w:rPr>
        <w:t xml:space="preserve"> можно переписать, введя мультипликатор </w:t>
      </w:r>
      <m:oMath>
        <m:r>
          <w:rPr>
            <w:rFonts w:ascii="Cambria Math" w:eastAsiaTheme="minorEastAsia" w:hAnsi="Cambria Math" w:cs="Times New Roman"/>
            <w:sz w:val="28"/>
            <w:szCs w:val="28"/>
          </w:rPr>
          <m:t>k</m:t>
        </m:r>
      </m:oMath>
      <w:r w:rsidR="00836FE3" w:rsidRPr="00836FE3">
        <w:rPr>
          <w:rFonts w:ascii="Times New Roman" w:eastAsiaTheme="minorEastAsia" w:hAnsi="Times New Roman" w:cs="Times New Roman"/>
          <w:sz w:val="28"/>
          <w:szCs w:val="28"/>
        </w:rPr>
        <w:t>:</w:t>
      </w:r>
    </w:p>
    <w:p w:rsidR="0077245C" w:rsidRPr="00836FE3" w:rsidRDefault="002B752D" w:rsidP="0077245C">
      <w:pPr>
        <w:spacing w:line="360" w:lineRule="auto"/>
        <w:jc w:val="both"/>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τ</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αN</m:t>
                  </m:r>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0</m:t>
                          </m:r>
                        </m:sub>
                      </m:sSub>
                    </m:sub>
                  </m:sSub>
                </m:den>
              </m:f>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τ</m:t>
                  </m:r>
                </m:sub>
              </m:sSub>
              <m:r>
                <w:rPr>
                  <w:rFonts w:ascii="Cambria Math" w:eastAsiaTheme="minorEastAsia" w:hAnsi="Cambria Math" w:cs="Times New Roman"/>
                  <w:sz w:val="28"/>
                  <w:szCs w:val="28"/>
                </w:rPr>
                <m:t>+kN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9</m:t>
                  </m:r>
                </m:e>
              </m:d>
            </m:e>
          </m:eqArr>
        </m:oMath>
      </m:oMathPara>
    </w:p>
    <w:p w:rsidR="00836FE3" w:rsidRPr="00836FE3" w:rsidRDefault="002B752D" w:rsidP="0077245C">
      <w:pPr>
        <w:spacing w:line="360" w:lineRule="auto"/>
        <w:jc w:val="both"/>
        <w:rPr>
          <w:rFonts w:ascii="Times New Roman" w:eastAsiaTheme="minorEastAsia" w:hAnsi="Times New Roman" w:cs="Times New Roman"/>
          <w:sz w:val="28"/>
          <w:szCs w:val="28"/>
        </w:rPr>
      </w:pPr>
      <m:oMathPara>
        <m:oMath>
          <m:eqArr>
            <m:eqArrPr>
              <m:maxDist m:val="1"/>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m:rPr>
                      <m:scr m:val="double-struck"/>
                    </m:rPr>
                    <w:rPr>
                      <w:rFonts w:ascii="Cambria Math" w:eastAsiaTheme="minorEastAsia" w:hAnsi="Cambria Math" w:cs="Times New Roman"/>
                      <w:sz w:val="28"/>
                      <w:szCs w:val="28"/>
                    </w:rPr>
                    <m:t>E</m:t>
                  </m:r>
                </m:e>
                <m:sup>
                  <m:r>
                    <m:rPr>
                      <m:scr m:val="double-struck"/>
                    </m:rPr>
                    <w:rPr>
                      <w:rFonts w:ascii="Cambria Math" w:eastAsiaTheme="minorEastAsia" w:hAnsi="Cambria Math" w:cs="Times New Roman"/>
                      <w:sz w:val="28"/>
                      <w:szCs w:val="28"/>
                    </w:rPr>
                    <m:t>Q×P</m:t>
                  </m:r>
                </m:sup>
              </m:sSup>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1</m:t>
                      </m:r>
                    </m:e>
                    <m:sub>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τ&gt;</m:t>
                          </m:r>
                          <m:r>
                            <w:rPr>
                              <w:rFonts w:ascii="Cambria Math" w:eastAsiaTheme="minorEastAsia" w:hAnsi="Cambria Math" w:cs="Times New Roman"/>
                              <w:sz w:val="28"/>
                              <w:szCs w:val="28"/>
                              <w:lang w:val="en-US"/>
                            </w:rPr>
                            <m:t>T</m:t>
                          </m:r>
                        </m:e>
                      </m:d>
                    </m:sub>
                  </m:sSub>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-r</m:t>
                      </m:r>
                      <m:r>
                        <w:rPr>
                          <w:rFonts w:ascii="Cambria Math" w:eastAsiaTheme="minorEastAsia" w:hAnsi="Cambria Math" w:cs="Times New Roman"/>
                          <w:sz w:val="28"/>
                          <w:szCs w:val="28"/>
                        </w:rPr>
                        <m:t>(T-t)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1</m:t>
                      </m:r>
                    </m:e>
                    <m:sub>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τ≤</m:t>
                          </m:r>
                          <m:r>
                            <w:rPr>
                              <w:rFonts w:ascii="Cambria Math" w:eastAsiaTheme="minorEastAsia" w:hAnsi="Cambria Math" w:cs="Times New Roman"/>
                              <w:sz w:val="28"/>
                              <w:szCs w:val="28"/>
                              <w:lang w:val="en-US"/>
                            </w:rPr>
                            <m:t>T</m:t>
                          </m:r>
                        </m:e>
                      </m:d>
                    </m:sub>
                  </m:sSub>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-r</m:t>
                      </m:r>
                      <m:r>
                        <w:rPr>
                          <w:rFonts w:ascii="Cambria Math" w:eastAsiaTheme="minorEastAsia" w:hAnsi="Cambria Math" w:cs="Times New Roman"/>
                          <w:sz w:val="28"/>
                          <w:szCs w:val="28"/>
                        </w:rPr>
                        <m:t>(τ-t)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τ</m:t>
                      </m:r>
                    </m:sub>
                  </m:sSub>
                  <m:r>
                    <w:rPr>
                      <w:rFonts w:ascii="Cambria Math" w:eastAsiaTheme="minorEastAsia" w:hAnsi="Cambria Math" w:cs="Times New Roman"/>
                      <w:sz w:val="28"/>
                      <w:szCs w:val="28"/>
                    </w:rPr>
                    <m:t xml:space="preserve"> | </m:t>
                  </m:r>
                  <m:sSub>
                    <m:sSubPr>
                      <m:ctrlPr>
                        <w:rPr>
                          <w:rFonts w:ascii="Cambria Math" w:eastAsiaTheme="minorEastAsia" w:hAnsi="Cambria Math" w:cs="Times New Roman"/>
                          <w:i/>
                          <w:sz w:val="28"/>
                          <w:szCs w:val="28"/>
                        </w:rPr>
                      </m:ctrlPr>
                    </m:sSubPr>
                    <m:e>
                      <m:r>
                        <m:rPr>
                          <m:scr m:val="script"/>
                        </m:rPr>
                        <w:rPr>
                          <w:rFonts w:ascii="Cambria Math" w:eastAsiaTheme="minorEastAsia" w:hAnsi="Cambria Math" w:cs="Times New Roman"/>
                          <w:sz w:val="28"/>
                          <w:szCs w:val="28"/>
                        </w:rPr>
                        <m:t>F</m:t>
                      </m:r>
                    </m:e>
                    <m:sub>
                      <m:r>
                        <w:rPr>
                          <w:rFonts w:ascii="Cambria Math" w:eastAsiaTheme="minorEastAsia" w:hAnsi="Cambria Math" w:cs="Times New Roman"/>
                          <w:sz w:val="28"/>
                          <w:szCs w:val="28"/>
                        </w:rPr>
                        <m:t>t</m:t>
                      </m:r>
                    </m:sub>
                  </m:sSub>
                </m:e>
              </m:d>
              <m:r>
                <w:rPr>
                  <w:rFonts w:ascii="Cambria Math" w:eastAsiaTheme="minorEastAsia" w:hAnsi="Cambria Math" w:cs="Times New Roman"/>
                  <w:sz w:val="28"/>
                  <w:szCs w:val="28"/>
                </w:rPr>
                <m:t>, ##</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10</m:t>
                  </m:r>
                </m:e>
              </m:d>
            </m:e>
          </m:eqArr>
        </m:oMath>
      </m:oMathPara>
    </w:p>
    <w:p w:rsidR="00836FE3" w:rsidRPr="00836FE3" w:rsidRDefault="00836FE3" w:rsidP="0077245C">
      <w:pPr>
        <w:spacing w:line="360" w:lineRule="auto"/>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∀t∈</m:t>
          </m:r>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T</m:t>
              </m:r>
            </m:e>
          </m:d>
          <m:r>
            <w:rPr>
              <w:rFonts w:ascii="Cambria Math" w:eastAsiaTheme="minorEastAsia" w:hAnsi="Cambria Math" w:cs="Times New Roman"/>
              <w:sz w:val="28"/>
              <w:szCs w:val="28"/>
            </w:rPr>
            <m:t>.</m:t>
          </m:r>
        </m:oMath>
      </m:oMathPara>
    </w:p>
    <w:p w:rsidR="00836FE3" w:rsidRDefault="00836FE3" w:rsidP="0077245C">
      <w:pPr>
        <w:spacing w:line="360" w:lineRule="auto"/>
        <w:jc w:val="both"/>
        <w:rPr>
          <w:rFonts w:ascii="Times New Roman" w:eastAsiaTheme="minorEastAsia" w:hAnsi="Times New Roman" w:cs="Times New Roman"/>
          <w:sz w:val="28"/>
          <w:szCs w:val="28"/>
          <w:lang w:val="en-US"/>
        </w:rPr>
      </w:pPr>
    </w:p>
    <w:p w:rsidR="008F6EEA" w:rsidRDefault="008F6EEA" w:rsidP="008F6EEA">
      <w:pPr>
        <w:spacing w:line="360" w:lineRule="auto"/>
        <w:jc w:val="both"/>
        <w:rPr>
          <w:rFonts w:ascii="Times New Roman" w:hAnsi="Times New Roman" w:cs="Times New Roman"/>
          <w:b/>
          <w:sz w:val="28"/>
          <w:szCs w:val="28"/>
        </w:rPr>
      </w:pPr>
      <w:r>
        <w:rPr>
          <w:rFonts w:ascii="Times New Roman" w:hAnsi="Times New Roman" w:cs="Times New Roman"/>
          <w:b/>
          <w:sz w:val="28"/>
          <w:szCs w:val="28"/>
        </w:rPr>
        <w:t>Численные результаты</w:t>
      </w:r>
    </w:p>
    <w:p w:rsidR="007866A4" w:rsidRDefault="008F6EEA" w:rsidP="008F6EE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Для оценки интенсивности смерти были использованы агрегированные демографические данные </w:t>
      </w:r>
      <w:r w:rsidR="00C45F33">
        <w:rPr>
          <w:rFonts w:ascii="Times New Roman" w:hAnsi="Times New Roman" w:cs="Times New Roman"/>
          <w:sz w:val="28"/>
          <w:szCs w:val="28"/>
        </w:rPr>
        <w:t>российской базы</w:t>
      </w:r>
      <w:r w:rsidRPr="008F6EEA">
        <w:rPr>
          <w:rFonts w:ascii="Times New Roman" w:hAnsi="Times New Roman" w:cs="Times New Roman"/>
          <w:sz w:val="28"/>
          <w:szCs w:val="28"/>
        </w:rPr>
        <w:t xml:space="preserve"> данных по рождаемости и смертности</w:t>
      </w:r>
      <w:r w:rsidR="00C45F33">
        <w:rPr>
          <w:rFonts w:ascii="Times New Roman" w:hAnsi="Times New Roman" w:cs="Times New Roman"/>
          <w:sz w:val="28"/>
          <w:szCs w:val="28"/>
        </w:rPr>
        <w:t xml:space="preserve"> Центра демографических исследований Российской экономической школы (</w:t>
      </w:r>
      <w:proofErr w:type="spellStart"/>
      <w:r w:rsidR="00C45F33">
        <w:rPr>
          <w:rFonts w:ascii="Times New Roman" w:hAnsi="Times New Roman" w:cs="Times New Roman"/>
          <w:sz w:val="28"/>
          <w:szCs w:val="28"/>
        </w:rPr>
        <w:t>РосБРиС</w:t>
      </w:r>
      <w:proofErr w:type="spellEnd"/>
      <w:r w:rsidR="00C45F33">
        <w:rPr>
          <w:rFonts w:ascii="Times New Roman" w:hAnsi="Times New Roman" w:cs="Times New Roman"/>
          <w:sz w:val="28"/>
          <w:szCs w:val="28"/>
        </w:rPr>
        <w:t xml:space="preserve"> ЦДИ РЭШ) и статистические </w:t>
      </w:r>
      <w:proofErr w:type="spellStart"/>
      <w:r w:rsidR="00C45F33">
        <w:rPr>
          <w:rFonts w:ascii="Times New Roman" w:hAnsi="Times New Roman" w:cs="Times New Roman"/>
          <w:sz w:val="28"/>
          <w:szCs w:val="28"/>
        </w:rPr>
        <w:t>данныч</w:t>
      </w:r>
      <w:proofErr w:type="spellEnd"/>
      <w:r w:rsidR="00C45F33" w:rsidRPr="00C45F33">
        <w:rPr>
          <w:rFonts w:ascii="Times New Roman" w:hAnsi="Times New Roman" w:cs="Times New Roman"/>
          <w:sz w:val="28"/>
          <w:szCs w:val="28"/>
        </w:rPr>
        <w:t xml:space="preserve"> о числах умерших и численности населения по регионам России по полу и возрасту ежегодно разрабатываются Федеральной службой госуд</w:t>
      </w:r>
      <w:r w:rsidR="00C45F33">
        <w:rPr>
          <w:rFonts w:ascii="Times New Roman" w:hAnsi="Times New Roman" w:cs="Times New Roman"/>
          <w:sz w:val="28"/>
          <w:szCs w:val="28"/>
        </w:rPr>
        <w:t>арственной статистики (Росстат) за 2023 год.</w:t>
      </w:r>
      <w:r w:rsidR="008256C7" w:rsidRPr="008256C7">
        <w:rPr>
          <w:rFonts w:ascii="Times New Roman" w:hAnsi="Times New Roman" w:cs="Times New Roman"/>
          <w:sz w:val="28"/>
          <w:szCs w:val="28"/>
        </w:rPr>
        <w:t xml:space="preserve"> </w:t>
      </w:r>
    </w:p>
    <w:p w:rsidR="008256C7" w:rsidRDefault="008256C7" w:rsidP="008256C7">
      <w:pPr>
        <w:spacing w:line="360" w:lineRule="auto"/>
        <w:jc w:val="center"/>
        <w:rPr>
          <w:rFonts w:ascii="Times New Roman" w:hAnsi="Times New Roman" w:cs="Times New Roman"/>
          <w:sz w:val="28"/>
          <w:szCs w:val="28"/>
        </w:rPr>
      </w:pPr>
      <w:r>
        <w:rPr>
          <w:rFonts w:ascii="Times New Roman" w:hAnsi="Times New Roman" w:cs="Times New Roman"/>
          <w:sz w:val="28"/>
          <w:szCs w:val="28"/>
        </w:rPr>
        <w:t>Таблица 1. Возрастные коэффициенты смертности на 100000 человек в России в 2023 году.</w:t>
      </w:r>
    </w:p>
    <w:tbl>
      <w:tblPr>
        <w:tblStyle w:val="aa"/>
        <w:tblW w:w="0" w:type="auto"/>
        <w:jc w:val="center"/>
        <w:tblLook w:val="04A0" w:firstRow="1" w:lastRow="0" w:firstColumn="1" w:lastColumn="0" w:noHBand="0" w:noVBand="1"/>
      </w:tblPr>
      <w:tblGrid>
        <w:gridCol w:w="1445"/>
        <w:gridCol w:w="2460"/>
        <w:gridCol w:w="3360"/>
      </w:tblGrid>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Пол</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Возрастная группа</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Коэффициент смертности</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0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449,3</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1-4 года</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31,2</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5-9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17,7</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10-14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24,6</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15-19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73,8</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20-24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202</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25-29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310,2</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30-34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440,7</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35-39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611,2</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40-44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867,4</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45-49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1117,2</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lastRenderedPageBreak/>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50-54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1321,1</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55-59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1801,7</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60-64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2608,4</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65-69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3590</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70-74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4923,7</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75-79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6190,2</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80-84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9702</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Мужчины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85 лет и более</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14829,1</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0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379</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1-4 года</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25,4</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5-9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12,6</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10-14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17,9</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15-19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36</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20-24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44,8</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25-29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60,2</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30-34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108,1</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35-39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174,9</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40-44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273,2</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45-49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362,5</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50-54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464,4</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55-59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638,9</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60-64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934,3</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65-69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1394,3</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70-74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2295,9</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75-79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3613,1</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80-84 лет</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7352,2</w:t>
            </w:r>
          </w:p>
        </w:tc>
      </w:tr>
      <w:tr w:rsidR="009306F2" w:rsidRPr="009306F2" w:rsidTr="009306F2">
        <w:trPr>
          <w:trHeight w:val="375"/>
          <w:jc w:val="center"/>
        </w:trPr>
        <w:tc>
          <w:tcPr>
            <w:tcW w:w="1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Женщины</w:t>
            </w:r>
          </w:p>
        </w:tc>
        <w:tc>
          <w:tcPr>
            <w:tcW w:w="24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85 лет и более</w:t>
            </w:r>
          </w:p>
        </w:tc>
        <w:tc>
          <w:tcPr>
            <w:tcW w:w="3360" w:type="dxa"/>
            <w:noWrap/>
            <w:hideMark/>
          </w:tcPr>
          <w:p w:rsidR="009306F2" w:rsidRPr="009306F2" w:rsidRDefault="009306F2" w:rsidP="009306F2">
            <w:pPr>
              <w:spacing w:line="360" w:lineRule="auto"/>
              <w:rPr>
                <w:rFonts w:ascii="Times New Roman" w:hAnsi="Times New Roman" w:cs="Times New Roman"/>
                <w:sz w:val="28"/>
                <w:szCs w:val="28"/>
              </w:rPr>
            </w:pPr>
            <w:r w:rsidRPr="009306F2">
              <w:rPr>
                <w:rFonts w:ascii="Times New Roman" w:hAnsi="Times New Roman" w:cs="Times New Roman"/>
                <w:sz w:val="28"/>
                <w:szCs w:val="28"/>
              </w:rPr>
              <w:t>15942,2</w:t>
            </w:r>
          </w:p>
        </w:tc>
      </w:tr>
    </w:tbl>
    <w:p w:rsidR="008256C7" w:rsidRPr="009306F2" w:rsidRDefault="009306F2" w:rsidP="009306F2">
      <w:pPr>
        <w:spacing w:line="360" w:lineRule="auto"/>
        <w:rPr>
          <w:rFonts w:ascii="Times New Roman" w:hAnsi="Times New Roman" w:cs="Times New Roman"/>
          <w:sz w:val="20"/>
          <w:szCs w:val="20"/>
        </w:rPr>
      </w:pPr>
      <w:r>
        <w:rPr>
          <w:rFonts w:ascii="Times New Roman" w:hAnsi="Times New Roman" w:cs="Times New Roman"/>
          <w:sz w:val="20"/>
          <w:szCs w:val="20"/>
        </w:rPr>
        <w:tab/>
        <w:t xml:space="preserve">       Источник - </w:t>
      </w:r>
      <w:hyperlink r:id="rId8" w:history="1">
        <w:r w:rsidRPr="006D09E7">
          <w:rPr>
            <w:rStyle w:val="a8"/>
            <w:rFonts w:ascii="Times New Roman" w:hAnsi="Times New Roman" w:cs="Times New Roman"/>
            <w:sz w:val="20"/>
            <w:szCs w:val="20"/>
          </w:rPr>
          <w:t>https://tochno.st/datasets/mortality</w:t>
        </w:r>
      </w:hyperlink>
      <w:r>
        <w:rPr>
          <w:rFonts w:ascii="Times New Roman" w:hAnsi="Times New Roman" w:cs="Times New Roman"/>
          <w:sz w:val="20"/>
          <w:szCs w:val="20"/>
        </w:rPr>
        <w:t xml:space="preserve"> </w:t>
      </w:r>
    </w:p>
    <w:p w:rsidR="009306F2" w:rsidRDefault="009306F2" w:rsidP="009306F2">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lastRenderedPageBreak/>
        <w:t xml:space="preserve">Так как данные публикуются по итогам года, корректировка соответствующих коэффициентов из таблицы (см. Таблица 1) на 100000 человек получим годовую вероятность смерти для соответствующей категории граждан. Аппроксимация </w:t>
      </w:r>
      <m:oMath>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5</m:t>
            </m:r>
          </m:e>
        </m:d>
      </m:oMath>
      <w:r>
        <w:rPr>
          <w:rFonts w:ascii="Times New Roman" w:eastAsiaTheme="minorEastAsia" w:hAnsi="Times New Roman" w:cs="Times New Roman"/>
          <w:sz w:val="28"/>
          <w:szCs w:val="28"/>
        </w:rPr>
        <w:t xml:space="preserve"> позволяет о</w:t>
      </w:r>
      <w:proofErr w:type="spellStart"/>
      <w:r>
        <w:rPr>
          <w:rFonts w:ascii="Times New Roman" w:eastAsiaTheme="minorEastAsia" w:hAnsi="Times New Roman" w:cs="Times New Roman"/>
          <w:sz w:val="28"/>
          <w:szCs w:val="28"/>
        </w:rPr>
        <w:t>пределить</w:t>
      </w:r>
      <w:proofErr w:type="spellEnd"/>
      <w:r>
        <w:rPr>
          <w:rFonts w:ascii="Times New Roman" w:eastAsiaTheme="minorEastAsia" w:hAnsi="Times New Roman" w:cs="Times New Roman"/>
          <w:sz w:val="28"/>
          <w:szCs w:val="28"/>
        </w:rPr>
        <w:t xml:space="preserve"> интенсивность смертности в России. Соответственно, в данном численном примере компонентами вектора факторов смертности являются пол и возраст агента. Далее возрастные группы усредняются </w:t>
      </w:r>
      <w:r w:rsidR="004C5E57">
        <w:rPr>
          <w:rFonts w:ascii="Times New Roman" w:eastAsiaTheme="minorEastAsia" w:hAnsi="Times New Roman" w:cs="Times New Roman"/>
          <w:sz w:val="28"/>
          <w:szCs w:val="28"/>
        </w:rPr>
        <w:t xml:space="preserve">и </w:t>
      </w:r>
      <w:r>
        <w:rPr>
          <w:rFonts w:ascii="Times New Roman" w:eastAsiaTheme="minorEastAsia" w:hAnsi="Times New Roman" w:cs="Times New Roman"/>
          <w:sz w:val="28"/>
          <w:szCs w:val="28"/>
        </w:rPr>
        <w:t>представляются как середины интервалов (в случае 85 лет и более используе</w:t>
      </w:r>
      <w:r w:rsidR="004C5E57">
        <w:rPr>
          <w:rFonts w:ascii="Times New Roman" w:eastAsiaTheme="minorEastAsia" w:hAnsi="Times New Roman" w:cs="Times New Roman"/>
          <w:sz w:val="28"/>
          <w:szCs w:val="28"/>
        </w:rPr>
        <w:t>тся верхняя граница в 89 лет). Путем интерполяции кубическим сплайном оценивается интенсивность смертности, как функция, зависящая от пола и возраста.</w:t>
      </w:r>
    </w:p>
    <w:p w:rsidR="004C5E57" w:rsidRPr="008256C7" w:rsidRDefault="00BB2B92" w:rsidP="009306F2">
      <w:pPr>
        <w:spacing w:line="360" w:lineRule="auto"/>
        <w:jc w:val="both"/>
        <w:rPr>
          <w:rFonts w:ascii="Times New Roman" w:hAnsi="Times New Roman" w:cs="Times New Roman"/>
          <w:sz w:val="28"/>
          <w:szCs w:val="28"/>
        </w:rPr>
      </w:pPr>
      <w:r w:rsidRPr="00BB2B92">
        <w:rPr>
          <w:rFonts w:ascii="Times New Roman" w:hAnsi="Times New Roman" w:cs="Times New Roman"/>
          <w:sz w:val="28"/>
          <w:szCs w:val="28"/>
        </w:rPr>
        <w:drawing>
          <wp:inline distT="0" distB="0" distL="0" distR="0" wp14:anchorId="5623D963" wp14:editId="62BD6271">
            <wp:extent cx="5940425" cy="286893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868930"/>
                    </a:xfrm>
                    <a:prstGeom prst="rect">
                      <a:avLst/>
                    </a:prstGeom>
                  </pic:spPr>
                </pic:pic>
              </a:graphicData>
            </a:graphic>
          </wp:inline>
        </w:drawing>
      </w:r>
    </w:p>
    <w:p w:rsidR="009306F2" w:rsidRDefault="004C5E57" w:rsidP="008256C7">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1. Оцененные кривые интенсивности смертности в зависимости от пола и возраста.</w:t>
      </w:r>
    </w:p>
    <w:p w:rsidR="004C5E57" w:rsidRDefault="004C5E57" w:rsidP="004C5E57">
      <w:pPr>
        <w:spacing w:line="360" w:lineRule="auto"/>
        <w:jc w:val="both"/>
        <w:rPr>
          <w:rFonts w:ascii="Times New Roman" w:hAnsi="Times New Roman" w:cs="Times New Roman"/>
          <w:sz w:val="28"/>
          <w:szCs w:val="28"/>
        </w:rPr>
      </w:pPr>
      <w:r>
        <w:rPr>
          <w:rFonts w:ascii="Times New Roman" w:hAnsi="Times New Roman" w:cs="Times New Roman"/>
          <w:sz w:val="28"/>
          <w:szCs w:val="28"/>
        </w:rPr>
        <w:t>По результатам полученных оценок можно сделать следующие выводы: смертность в России для населения, находящегося в младенческом, детском и подростковом возрастах практически не зависит от пола</w:t>
      </w:r>
      <w:r w:rsidRPr="004C5E57">
        <w:rPr>
          <w:rFonts w:ascii="Times New Roman" w:hAnsi="Times New Roman" w:cs="Times New Roman"/>
          <w:sz w:val="28"/>
          <w:szCs w:val="28"/>
        </w:rPr>
        <w:t xml:space="preserve">; </w:t>
      </w:r>
      <w:r>
        <w:rPr>
          <w:rFonts w:ascii="Times New Roman" w:hAnsi="Times New Roman" w:cs="Times New Roman"/>
          <w:sz w:val="28"/>
          <w:szCs w:val="28"/>
        </w:rPr>
        <w:t xml:space="preserve">на обоих кривых наблюдается </w:t>
      </w:r>
      <w:r w:rsidR="00363BB4">
        <w:rPr>
          <w:rFonts w:ascii="Times New Roman" w:hAnsi="Times New Roman" w:cs="Times New Roman"/>
          <w:sz w:val="28"/>
          <w:szCs w:val="28"/>
        </w:rPr>
        <w:t xml:space="preserve">небольшой скос в окрестности младенческого возраста, который может быть связан со смертью при родах; интенсивность смерти мужчин выше, чем у женщин, находящихся в промежутке между совершеннолетним и </w:t>
      </w:r>
      <w:r w:rsidR="00363BB4">
        <w:rPr>
          <w:rFonts w:ascii="Times New Roman" w:hAnsi="Times New Roman" w:cs="Times New Roman"/>
          <w:sz w:val="28"/>
          <w:szCs w:val="28"/>
        </w:rPr>
        <w:lastRenderedPageBreak/>
        <w:t>преклонным возрастом, однако, данная тенденция меняется приблизительно в 85-90 летнем возрасте.</w:t>
      </w:r>
    </w:p>
    <w:p w:rsidR="00363BB4" w:rsidRDefault="00BA522B" w:rsidP="004C5E5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Для </w:t>
      </w:r>
      <w:r w:rsidR="00D663DA">
        <w:rPr>
          <w:rFonts w:ascii="Times New Roman" w:hAnsi="Times New Roman" w:cs="Times New Roman"/>
          <w:sz w:val="28"/>
          <w:szCs w:val="28"/>
        </w:rPr>
        <w:t>примера был выбран Индекс Московской Биржи (</w:t>
      </w:r>
      <w:r w:rsidR="00D663DA">
        <w:rPr>
          <w:rFonts w:ascii="Times New Roman" w:hAnsi="Times New Roman" w:cs="Times New Roman"/>
          <w:sz w:val="28"/>
          <w:szCs w:val="28"/>
          <w:lang w:val="en-US"/>
        </w:rPr>
        <w:t>IMOEX</w:t>
      </w:r>
      <w:r w:rsidR="00D663DA">
        <w:rPr>
          <w:rFonts w:ascii="Times New Roman" w:hAnsi="Times New Roman" w:cs="Times New Roman"/>
          <w:sz w:val="28"/>
          <w:szCs w:val="28"/>
        </w:rPr>
        <w:t>) в качестве источника инвестиционного дохода.</w:t>
      </w:r>
    </w:p>
    <w:p w:rsidR="00D663DA" w:rsidRPr="00D663DA" w:rsidRDefault="00BB2B92" w:rsidP="004C5E57">
      <w:pPr>
        <w:spacing w:line="360" w:lineRule="auto"/>
        <w:jc w:val="both"/>
        <w:rPr>
          <w:rFonts w:ascii="Times New Roman" w:hAnsi="Times New Roman" w:cs="Times New Roman"/>
          <w:sz w:val="28"/>
          <w:szCs w:val="28"/>
        </w:rPr>
      </w:pPr>
      <w:r w:rsidRPr="00BB2B92">
        <w:rPr>
          <w:rFonts w:ascii="Times New Roman" w:hAnsi="Times New Roman" w:cs="Times New Roman"/>
          <w:sz w:val="28"/>
          <w:szCs w:val="28"/>
        </w:rPr>
        <w:drawing>
          <wp:inline distT="0" distB="0" distL="0" distR="0" wp14:anchorId="2F8003F9" wp14:editId="3C9BBCD0">
            <wp:extent cx="5940425" cy="297815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78150"/>
                    </a:xfrm>
                    <a:prstGeom prst="rect">
                      <a:avLst/>
                    </a:prstGeom>
                  </pic:spPr>
                </pic:pic>
              </a:graphicData>
            </a:graphic>
          </wp:inline>
        </w:drawing>
      </w:r>
    </w:p>
    <w:p w:rsidR="00D663DA" w:rsidRDefault="00D663DA" w:rsidP="00D663DA">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Динамика цены </w:t>
      </w:r>
      <w:r>
        <w:rPr>
          <w:rFonts w:ascii="Times New Roman" w:hAnsi="Times New Roman" w:cs="Times New Roman"/>
          <w:sz w:val="28"/>
          <w:szCs w:val="28"/>
          <w:lang w:val="en-US"/>
        </w:rPr>
        <w:t>IMOEX</w:t>
      </w:r>
      <w:r w:rsidRPr="00D663DA">
        <w:rPr>
          <w:rFonts w:ascii="Times New Roman" w:hAnsi="Times New Roman" w:cs="Times New Roman"/>
          <w:sz w:val="28"/>
          <w:szCs w:val="28"/>
        </w:rPr>
        <w:t xml:space="preserve"> </w:t>
      </w:r>
      <w:r>
        <w:rPr>
          <w:rFonts w:ascii="Times New Roman" w:hAnsi="Times New Roman" w:cs="Times New Roman"/>
          <w:sz w:val="28"/>
          <w:szCs w:val="28"/>
        </w:rPr>
        <w:t>в период с июля 2022 по февраль 2026 гг.</w:t>
      </w:r>
    </w:p>
    <w:p w:rsidR="00BA522B" w:rsidRDefault="00BA522B" w:rsidP="0077245C">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Данные были выгружены с использованием программного интерфейса АПИ к ИСС Московской Биржи (</w:t>
      </w:r>
      <w:hyperlink r:id="rId11" w:history="1">
        <w:r w:rsidRPr="0036666D">
          <w:rPr>
            <w:rStyle w:val="a8"/>
            <w:rFonts w:ascii="Times New Roman" w:eastAsiaTheme="minorEastAsia" w:hAnsi="Times New Roman" w:cs="Times New Roman"/>
            <w:sz w:val="28"/>
            <w:szCs w:val="28"/>
          </w:rPr>
          <w:t>https://www.moex.com/a2193</w:t>
        </w:r>
      </w:hyperlink>
      <w:r>
        <w:rPr>
          <w:rFonts w:ascii="Times New Roman" w:eastAsiaTheme="minorEastAsia" w:hAnsi="Times New Roman" w:cs="Times New Roman"/>
          <w:sz w:val="28"/>
          <w:szCs w:val="28"/>
        </w:rPr>
        <w:t>). Историческая динамика цен была использована для оценки параметров модели локальной волатильности, сами оценки были получены при помощи метода максимального логарифмического правдоподобия</w:t>
      </w:r>
      <w:r w:rsidR="008C64CA">
        <w:rPr>
          <w:rFonts w:ascii="Times New Roman" w:eastAsiaTheme="minorEastAsia" w:hAnsi="Times New Roman" w:cs="Times New Roman"/>
          <w:sz w:val="28"/>
          <w:szCs w:val="28"/>
        </w:rPr>
        <w:t xml:space="preserve">. При оптимизации было сделано предположение о постоянности </w:t>
      </w:r>
      <m:oMath>
        <m:r>
          <w:rPr>
            <w:rFonts w:ascii="Cambria Math" w:hAnsi="Cambria Math" w:cs="Times New Roman"/>
            <w:sz w:val="28"/>
            <w:szCs w:val="28"/>
          </w:rPr>
          <m:t>α</m:t>
        </m:r>
        <m:d>
          <m:dPr>
            <m:ctrlPr>
              <w:rPr>
                <w:rFonts w:ascii="Cambria Math" w:hAnsi="Cambria Math" w:cs="Times New Roman"/>
                <w:i/>
                <w:sz w:val="28"/>
                <w:szCs w:val="28"/>
              </w:rPr>
            </m:ctrlPr>
          </m:dPr>
          <m:e>
            <m:r>
              <w:rPr>
                <w:rFonts w:ascii="Cambria Math" w:hAnsi="Cambria Math" w:cs="Times New Roman"/>
                <w:sz w:val="28"/>
                <w:szCs w:val="28"/>
              </w:rPr>
              <m:t xml:space="preserve">t,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e>
        </m:d>
      </m:oMath>
      <w:r w:rsidR="008C64CA">
        <w:rPr>
          <w:rFonts w:ascii="Times New Roman" w:eastAsiaTheme="minorEastAsia" w:hAnsi="Times New Roman" w:cs="Times New Roman"/>
          <w:sz w:val="28"/>
          <w:szCs w:val="28"/>
        </w:rPr>
        <w:t>.</w:t>
      </w:r>
    </w:p>
    <w:p w:rsidR="008C64CA" w:rsidRDefault="008C64CA" w:rsidP="008C64CA">
      <w:pPr>
        <w:spacing w:line="360" w:lineRule="auto"/>
        <w:jc w:val="center"/>
        <w:rPr>
          <w:rFonts w:ascii="Times New Roman" w:hAnsi="Times New Roman" w:cs="Times New Roman"/>
          <w:sz w:val="28"/>
          <w:szCs w:val="28"/>
        </w:rPr>
      </w:pPr>
      <w:r>
        <w:rPr>
          <w:rFonts w:ascii="Times New Roman" w:hAnsi="Times New Roman" w:cs="Times New Roman"/>
          <w:sz w:val="28"/>
          <w:szCs w:val="28"/>
        </w:rPr>
        <w:t>Таблица 2. Оцененные параметры модели локальной волатильности</w:t>
      </w:r>
      <w:r w:rsidRPr="008C64CA">
        <w:rPr>
          <w:rFonts w:ascii="Times New Roman" w:hAnsi="Times New Roman" w:cs="Times New Roman"/>
          <w:sz w:val="28"/>
          <w:szCs w:val="28"/>
        </w:rPr>
        <w:t>.</w:t>
      </w:r>
    </w:p>
    <w:tbl>
      <w:tblPr>
        <w:tblStyle w:val="aa"/>
        <w:tblW w:w="0" w:type="auto"/>
        <w:tblLook w:val="04A0" w:firstRow="1" w:lastRow="0" w:firstColumn="1" w:lastColumn="0" w:noHBand="0" w:noVBand="1"/>
      </w:tblPr>
      <w:tblGrid>
        <w:gridCol w:w="1838"/>
        <w:gridCol w:w="1559"/>
        <w:gridCol w:w="1418"/>
        <w:gridCol w:w="4530"/>
      </w:tblGrid>
      <w:tr w:rsidR="008C64CA" w:rsidTr="008C64CA">
        <w:tc>
          <w:tcPr>
            <w:tcW w:w="1838" w:type="dxa"/>
          </w:tcPr>
          <w:p w:rsidR="008C64CA" w:rsidRDefault="00096402" w:rsidP="008C64CA">
            <w:pPr>
              <w:spacing w:line="360" w:lineRule="auto"/>
              <w:jc w:val="center"/>
              <w:rPr>
                <w:rFonts w:ascii="Times New Roman" w:hAnsi="Times New Roman" w:cs="Times New Roman"/>
                <w:sz w:val="28"/>
                <w:szCs w:val="28"/>
              </w:rPr>
            </w:pPr>
            <m:oMathPara>
              <m:oMath>
                <m:acc>
                  <m:accPr>
                    <m:ctrlPr>
                      <w:rPr>
                        <w:rFonts w:ascii="Cambria Math" w:hAnsi="Cambria Math" w:cs="Times New Roman"/>
                        <w:i/>
                        <w:sz w:val="28"/>
                        <w:szCs w:val="28"/>
                      </w:rPr>
                    </m:ctrlPr>
                  </m:accPr>
                  <m:e>
                    <m:r>
                      <w:rPr>
                        <w:rFonts w:ascii="Cambria Math" w:hAnsi="Cambria Math" w:cs="Times New Roman"/>
                        <w:sz w:val="28"/>
                        <w:szCs w:val="28"/>
                      </w:rPr>
                      <m:t>α</m:t>
                    </m:r>
                  </m:e>
                </m:acc>
                <m:d>
                  <m:dPr>
                    <m:ctrlPr>
                      <w:rPr>
                        <w:rFonts w:ascii="Cambria Math" w:hAnsi="Cambria Math" w:cs="Times New Roman"/>
                        <w:i/>
                        <w:sz w:val="28"/>
                        <w:szCs w:val="28"/>
                      </w:rPr>
                    </m:ctrlPr>
                  </m:dPr>
                  <m:e>
                    <m:r>
                      <w:rPr>
                        <w:rFonts w:ascii="Cambria Math" w:hAnsi="Cambria Math" w:cs="Times New Roman"/>
                        <w:sz w:val="28"/>
                        <w:szCs w:val="28"/>
                      </w:rPr>
                      <m:t xml:space="preserve">t,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t</m:t>
                        </m:r>
                      </m:sub>
                    </m:sSub>
                  </m:e>
                </m:d>
              </m:oMath>
            </m:oMathPara>
          </w:p>
        </w:tc>
        <w:tc>
          <w:tcPr>
            <w:tcW w:w="1559" w:type="dxa"/>
          </w:tcPr>
          <w:p w:rsidR="008C64CA" w:rsidRDefault="00096402" w:rsidP="00096402">
            <w:pPr>
              <w:spacing w:line="360" w:lineRule="auto"/>
              <w:jc w:val="center"/>
              <w:rPr>
                <w:rFonts w:ascii="Times New Roman" w:hAnsi="Times New Roman" w:cs="Times New Roman"/>
                <w:sz w:val="28"/>
                <w:szCs w:val="28"/>
              </w:rPr>
            </w:pPr>
            <m:oMathPara>
              <m:oMath>
                <m:acc>
                  <m:accPr>
                    <m:ctrlPr>
                      <w:rPr>
                        <w:rFonts w:ascii="Cambria Math" w:hAnsi="Cambria Math" w:cs="Times New Roman"/>
                        <w:i/>
                        <w:sz w:val="28"/>
                        <w:szCs w:val="28"/>
                      </w:rPr>
                    </m:ctrlPr>
                  </m:accPr>
                  <m:e>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0</m:t>
                        </m:r>
                      </m:sub>
                    </m:sSub>
                  </m:e>
                </m:acc>
              </m:oMath>
            </m:oMathPara>
          </w:p>
        </w:tc>
        <w:tc>
          <w:tcPr>
            <w:tcW w:w="1418" w:type="dxa"/>
          </w:tcPr>
          <w:p w:rsidR="008C64CA" w:rsidRDefault="00096402" w:rsidP="00096402">
            <w:pPr>
              <w:spacing w:line="360" w:lineRule="auto"/>
              <w:jc w:val="center"/>
              <w:rPr>
                <w:rFonts w:ascii="Times New Roman" w:hAnsi="Times New Roman" w:cs="Times New Roman"/>
                <w:sz w:val="28"/>
                <w:szCs w:val="28"/>
              </w:rPr>
            </w:pPr>
            <m:oMathPara>
              <m:oMath>
                <m:acc>
                  <m:accPr>
                    <m:ctrlPr>
                      <w:rPr>
                        <w:rFonts w:ascii="Cambria Math" w:hAnsi="Cambria Math" w:cs="Times New Roman"/>
                        <w:i/>
                        <w:sz w:val="28"/>
                        <w:szCs w:val="28"/>
                      </w:rPr>
                    </m:ctrlPr>
                  </m:accPr>
                  <m:e>
                    <m:r>
                      <w:rPr>
                        <w:rFonts w:ascii="Cambria Math" w:hAnsi="Cambria Math" w:cs="Times New Roman"/>
                        <w:sz w:val="28"/>
                        <w:szCs w:val="28"/>
                      </w:rPr>
                      <m:t>β</m:t>
                    </m:r>
                  </m:e>
                </m:acc>
              </m:oMath>
            </m:oMathPara>
          </w:p>
        </w:tc>
        <w:tc>
          <w:tcPr>
            <w:tcW w:w="4530" w:type="dxa"/>
          </w:tcPr>
          <w:p w:rsidR="008C64CA" w:rsidRPr="008C64CA" w:rsidRDefault="008C64CA" w:rsidP="008C64CA">
            <w:pPr>
              <w:spacing w:line="360" w:lineRule="auto"/>
              <w:jc w:val="center"/>
              <w:rPr>
                <w:rFonts w:ascii="Times New Roman" w:hAnsi="Times New Roman" w:cs="Times New Roman"/>
                <w:sz w:val="28"/>
                <w:szCs w:val="28"/>
              </w:rPr>
            </w:pPr>
            <w:r>
              <w:rPr>
                <w:rFonts w:ascii="Times New Roman" w:hAnsi="Times New Roman" w:cs="Times New Roman"/>
                <w:sz w:val="28"/>
                <w:szCs w:val="28"/>
              </w:rPr>
              <w:t>Значение функции правдоподобия</w:t>
            </w:r>
          </w:p>
        </w:tc>
      </w:tr>
      <w:tr w:rsidR="008C64CA" w:rsidTr="008C64CA">
        <w:tc>
          <w:tcPr>
            <w:tcW w:w="1838" w:type="dxa"/>
          </w:tcPr>
          <w:p w:rsidR="008C64CA" w:rsidRPr="008C64CA" w:rsidRDefault="008C64CA" w:rsidP="008C64C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rPr>
              <w:t>0</w:t>
            </w:r>
            <w:r>
              <w:rPr>
                <w:rFonts w:ascii="Times New Roman" w:hAnsi="Times New Roman" w:cs="Times New Roman"/>
                <w:sz w:val="28"/>
                <w:szCs w:val="28"/>
                <w:lang w:val="en-US"/>
              </w:rPr>
              <w:t>,0644</w:t>
            </w:r>
          </w:p>
        </w:tc>
        <w:tc>
          <w:tcPr>
            <w:tcW w:w="1559" w:type="dxa"/>
          </w:tcPr>
          <w:p w:rsidR="008C64CA" w:rsidRPr="008C64CA" w:rsidRDefault="008C64CA" w:rsidP="008C64C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1,9881</w:t>
            </w:r>
          </w:p>
        </w:tc>
        <w:tc>
          <w:tcPr>
            <w:tcW w:w="1418" w:type="dxa"/>
          </w:tcPr>
          <w:p w:rsidR="008C64CA" w:rsidRPr="008C64CA" w:rsidRDefault="008C64CA" w:rsidP="008C64C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0,3638</w:t>
            </w:r>
          </w:p>
        </w:tc>
        <w:tc>
          <w:tcPr>
            <w:tcW w:w="4530" w:type="dxa"/>
          </w:tcPr>
          <w:p w:rsidR="008C64CA" w:rsidRPr="008C64CA" w:rsidRDefault="008C64CA" w:rsidP="008C64CA">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2728,5185</w:t>
            </w:r>
          </w:p>
        </w:tc>
      </w:tr>
    </w:tbl>
    <w:p w:rsidR="00096402" w:rsidRPr="009306F2" w:rsidRDefault="00096402" w:rsidP="00096402">
      <w:pPr>
        <w:spacing w:line="360" w:lineRule="auto"/>
        <w:rPr>
          <w:rFonts w:ascii="Times New Roman" w:hAnsi="Times New Roman" w:cs="Times New Roman"/>
          <w:sz w:val="20"/>
          <w:szCs w:val="20"/>
        </w:rPr>
      </w:pPr>
      <w:r>
        <w:rPr>
          <w:rFonts w:ascii="Times New Roman" w:hAnsi="Times New Roman" w:cs="Times New Roman"/>
          <w:sz w:val="20"/>
          <w:szCs w:val="20"/>
        </w:rPr>
        <w:t>Источник – расчеты автора.</w:t>
      </w:r>
    </w:p>
    <w:p w:rsidR="008C64CA" w:rsidRPr="008C64CA" w:rsidRDefault="008C64CA" w:rsidP="00096402">
      <w:pPr>
        <w:spacing w:line="360" w:lineRule="auto"/>
        <w:jc w:val="both"/>
        <w:rPr>
          <w:rFonts w:ascii="Times New Roman" w:hAnsi="Times New Roman" w:cs="Times New Roman"/>
          <w:sz w:val="28"/>
          <w:szCs w:val="28"/>
        </w:rPr>
      </w:pPr>
    </w:p>
    <w:p w:rsidR="008C64CA" w:rsidRDefault="008C64CA" w:rsidP="0077245C">
      <w:pPr>
        <w:spacing w:line="360" w:lineRule="auto"/>
        <w:jc w:val="both"/>
        <w:rPr>
          <w:rFonts w:ascii="Times New Roman" w:eastAsiaTheme="minorEastAsia" w:hAnsi="Times New Roman" w:cs="Times New Roman"/>
          <w:sz w:val="28"/>
          <w:szCs w:val="28"/>
        </w:rPr>
      </w:pPr>
    </w:p>
    <w:p w:rsidR="00096402" w:rsidRDefault="00BB2B92" w:rsidP="0077245C">
      <w:pPr>
        <w:spacing w:line="360" w:lineRule="auto"/>
        <w:jc w:val="both"/>
        <w:rPr>
          <w:rFonts w:ascii="Times New Roman" w:eastAsiaTheme="minorEastAsia" w:hAnsi="Times New Roman" w:cs="Times New Roman"/>
          <w:sz w:val="28"/>
          <w:szCs w:val="28"/>
        </w:rPr>
      </w:pPr>
      <w:r w:rsidRPr="00BB2B92">
        <w:rPr>
          <w:rFonts w:ascii="Times New Roman" w:eastAsiaTheme="minorEastAsia" w:hAnsi="Times New Roman" w:cs="Times New Roman"/>
          <w:sz w:val="28"/>
          <w:szCs w:val="28"/>
        </w:rPr>
        <w:lastRenderedPageBreak/>
        <w:drawing>
          <wp:inline distT="0" distB="0" distL="0" distR="0" wp14:anchorId="0ED4D050" wp14:editId="1CD5EAA1">
            <wp:extent cx="5940425" cy="2868930"/>
            <wp:effectExtent l="0" t="0" r="317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868930"/>
                    </a:xfrm>
                    <a:prstGeom prst="rect">
                      <a:avLst/>
                    </a:prstGeom>
                  </pic:spPr>
                </pic:pic>
              </a:graphicData>
            </a:graphic>
          </wp:inline>
        </w:drawing>
      </w:r>
    </w:p>
    <w:p w:rsidR="00096402" w:rsidRDefault="00096402" w:rsidP="00096402">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 Сравнение исторической и модельной волатильности в зависимости от уровня цен.</w:t>
      </w:r>
    </w:p>
    <w:p w:rsidR="00096402" w:rsidRDefault="00096402" w:rsidP="00096402">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Оцененный параметр </w:t>
      </w:r>
      <m:oMath>
        <m:acc>
          <m:accPr>
            <m:ctrlPr>
              <w:rPr>
                <w:rFonts w:ascii="Cambria Math" w:hAnsi="Cambria Math" w:cs="Times New Roman"/>
                <w:i/>
                <w:sz w:val="28"/>
                <w:szCs w:val="28"/>
              </w:rPr>
            </m:ctrlPr>
          </m:accPr>
          <m:e>
            <m:r>
              <w:rPr>
                <w:rFonts w:ascii="Cambria Math" w:hAnsi="Cambria Math" w:cs="Times New Roman"/>
                <w:sz w:val="28"/>
                <w:szCs w:val="28"/>
              </w:rPr>
              <m:t>β</m:t>
            </m:r>
          </m:e>
        </m:acc>
        <m:r>
          <w:rPr>
            <w:rFonts w:ascii="Cambria Math" w:hAnsi="Cambria Math" w:cs="Times New Roman"/>
            <w:sz w:val="28"/>
            <w:szCs w:val="28"/>
          </w:rPr>
          <m:t>=</m:t>
        </m:r>
        <m:r>
          <w:rPr>
            <w:rFonts w:ascii="Cambria Math" w:hAnsi="Cambria Math" w:cs="Times New Roman"/>
            <w:sz w:val="28"/>
            <w:szCs w:val="28"/>
          </w:rPr>
          <m:t>0</m:t>
        </m:r>
        <m:r>
          <w:rPr>
            <w:rFonts w:ascii="Cambria Math" w:hAnsi="Cambria Math" w:cs="Times New Roman"/>
            <w:sz w:val="28"/>
            <w:szCs w:val="28"/>
          </w:rPr>
          <m:t>,</m:t>
        </m:r>
        <m:r>
          <w:rPr>
            <w:rFonts w:ascii="Cambria Math" w:eastAsiaTheme="minorEastAsia" w:hAnsi="Cambria Math" w:cs="Times New Roman"/>
            <w:sz w:val="28"/>
            <w:szCs w:val="28"/>
          </w:rPr>
          <m:t>3638&lt;1</m:t>
        </m:r>
      </m:oMath>
      <w:r w:rsidRPr="0009640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свидетельствует об эффекте рычага (</w:t>
      </w:r>
      <w:proofErr w:type="spellStart"/>
      <w:r w:rsidRPr="00096402">
        <w:rPr>
          <w:rFonts w:ascii="Times New Roman" w:eastAsiaTheme="minorEastAsia" w:hAnsi="Times New Roman" w:cs="Times New Roman"/>
          <w:sz w:val="28"/>
          <w:szCs w:val="28"/>
        </w:rPr>
        <w:t>leverage</w:t>
      </w:r>
      <w:proofErr w:type="spellEnd"/>
      <w:r w:rsidRPr="00096402">
        <w:rPr>
          <w:rFonts w:ascii="Times New Roman" w:eastAsiaTheme="minorEastAsia" w:hAnsi="Times New Roman" w:cs="Times New Roman"/>
          <w:sz w:val="28"/>
          <w:szCs w:val="28"/>
        </w:rPr>
        <w:t xml:space="preserve"> </w:t>
      </w:r>
      <w:proofErr w:type="spellStart"/>
      <w:r w:rsidRPr="00096402">
        <w:rPr>
          <w:rFonts w:ascii="Times New Roman" w:eastAsiaTheme="minorEastAsia" w:hAnsi="Times New Roman" w:cs="Times New Roman"/>
          <w:sz w:val="28"/>
          <w:szCs w:val="28"/>
        </w:rPr>
        <w:t>effect</w:t>
      </w:r>
      <w:proofErr w:type="spellEnd"/>
      <w:r w:rsidRPr="0009640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skew</w:t>
      </w:r>
      <w:r w:rsidRPr="00096402">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на российском фондовом рынке, при котором более низкие уровни цен сопровождаются высокой волатильностью. Такой результат достаточно типичен для рынка акций и соответствует интуиции.</w:t>
      </w:r>
    </w:p>
    <w:p w:rsidR="00096402" w:rsidRDefault="002B752D" w:rsidP="00096402">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Для решения </w:t>
      </w:r>
      <w:r>
        <w:rPr>
          <w:rFonts w:ascii="Times New Roman" w:eastAsiaTheme="minorEastAsia" w:hAnsi="Times New Roman" w:cs="Times New Roman"/>
          <w:sz w:val="28"/>
          <w:szCs w:val="28"/>
        </w:rPr>
        <w:t xml:space="preserve">уравнения </w:t>
      </w:r>
      <m:oMath>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10</m:t>
            </m:r>
          </m:e>
        </m:d>
      </m:oMath>
      <w:r>
        <w:rPr>
          <w:rFonts w:ascii="Times New Roman" w:eastAsiaTheme="minorEastAsia" w:hAnsi="Times New Roman" w:cs="Times New Roman"/>
          <w:sz w:val="28"/>
          <w:szCs w:val="28"/>
        </w:rPr>
        <w:t xml:space="preserve"> был использован метод Монте-Карло симуляций. В качестве безрисковой ставки доходности динамики </w:t>
      </w:r>
      <m:oMath>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6</m:t>
            </m:r>
          </m:e>
        </m:d>
      </m:oMath>
      <w:r>
        <w:rPr>
          <w:rFonts w:ascii="Times New Roman" w:eastAsiaTheme="minorEastAsia" w:hAnsi="Times New Roman" w:cs="Times New Roman"/>
          <w:sz w:val="28"/>
          <w:szCs w:val="28"/>
        </w:rPr>
        <w:t xml:space="preserve"> была использована кривая бескупонной доходности государственных долговых ценных бумаг (</w:t>
      </w:r>
      <w:hyperlink r:id="rId13" w:history="1">
        <w:r w:rsidRPr="0036666D">
          <w:rPr>
            <w:rStyle w:val="a8"/>
            <w:rFonts w:ascii="Times New Roman" w:eastAsiaTheme="minorEastAsia" w:hAnsi="Times New Roman" w:cs="Times New Roman"/>
            <w:sz w:val="28"/>
            <w:szCs w:val="28"/>
          </w:rPr>
          <w:t>https://www.moex.com/s2532</w:t>
        </w:r>
      </w:hyperlink>
      <w:r w:rsidRPr="002B752D">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КБД, </w:t>
      </w:r>
      <w:r>
        <w:rPr>
          <w:rFonts w:ascii="Times New Roman" w:eastAsiaTheme="minorEastAsia" w:hAnsi="Times New Roman" w:cs="Times New Roman"/>
          <w:sz w:val="28"/>
          <w:szCs w:val="28"/>
          <w:lang w:val="en-US"/>
        </w:rPr>
        <w:t>G</w:t>
      </w:r>
      <w:r w:rsidRPr="002B752D">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Curve</w:t>
      </w:r>
      <w:r>
        <w:rPr>
          <w:rFonts w:ascii="Times New Roman" w:eastAsiaTheme="minorEastAsia" w:hAnsi="Times New Roman" w:cs="Times New Roman"/>
          <w:sz w:val="28"/>
          <w:szCs w:val="28"/>
        </w:rPr>
        <w:t>)</w:t>
      </w:r>
      <w:r w:rsidRPr="002B752D">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Чтобы определить распределение случайного момента смерти агента (</w:t>
      </w:r>
      <m:oMath>
        <m:r>
          <w:rPr>
            <w:rFonts w:ascii="Cambria Math" w:eastAsiaTheme="minorEastAsia" w:hAnsi="Cambria Math" w:cs="Times New Roman"/>
            <w:sz w:val="28"/>
            <w:szCs w:val="28"/>
          </w:rPr>
          <m:t>τ</m:t>
        </m:r>
      </m:oMath>
      <w:r>
        <w:rPr>
          <w:rFonts w:ascii="Times New Roman" w:eastAsiaTheme="minorEastAsia" w:hAnsi="Times New Roman" w:cs="Times New Roman"/>
          <w:sz w:val="28"/>
          <w:szCs w:val="28"/>
        </w:rPr>
        <w:t>)</w:t>
      </w:r>
      <w:r w:rsidRPr="002B752D">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предлагается использовать метод Смирнова (или метод инверсии выборки), суть метода в том, что помимо симуляции приращений процесса Винера</w:t>
      </w:r>
      <w:r w:rsidR="000D4FA1">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дополнительно генерируются случайные величины</w:t>
      </w:r>
      <w:r w:rsidR="000D4FA1">
        <w:rPr>
          <w:rFonts w:ascii="Times New Roman" w:eastAsiaTheme="minorEastAsia" w:hAnsi="Times New Roman" w:cs="Times New Roman"/>
          <w:sz w:val="28"/>
          <w:szCs w:val="28"/>
        </w:rPr>
        <w:t xml:space="preserve"> из равномерного распределения, то есть</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rPr>
              <m:t>U</m:t>
            </m:r>
            <m:ctrlPr>
              <w:rPr>
                <w:rFonts w:ascii="Cambria Math" w:eastAsiaTheme="minorEastAsia" w:hAnsi="Cambria Math" w:cs="Times New Roman"/>
                <w:i/>
                <w:sz w:val="28"/>
                <w:szCs w:val="28"/>
              </w:rPr>
            </m:ctrlPr>
          </m:e>
          <m:sub>
            <m:r>
              <w:rPr>
                <w:rFonts w:ascii="Cambria Math" w:eastAsiaTheme="minorEastAsia" w:hAnsi="Cambria Math" w:cs="Times New Roman"/>
                <w:sz w:val="28"/>
                <w:szCs w:val="28"/>
                <w:lang w:val="en-US"/>
              </w:rPr>
              <m:t>i</m:t>
            </m:r>
          </m:sub>
        </m:sSub>
        <m:r>
          <m:rPr>
            <m:scr m:val="script"/>
          </m:rPr>
          <w:rPr>
            <w:rFonts w:ascii="Cambria Math" w:eastAsiaTheme="minorEastAsia" w:hAnsi="Cambria Math" w:cs="Times New Roman"/>
            <w:sz w:val="28"/>
            <w:szCs w:val="28"/>
          </w:rPr>
          <m:t>∼U</m:t>
        </m:r>
        <m:r>
          <w:rPr>
            <w:rFonts w:ascii="Cambria Math" w:eastAsiaTheme="minorEastAsia" w:hAnsi="Cambria Math" w:cs="Times New Roman"/>
            <w:sz w:val="28"/>
            <w:szCs w:val="28"/>
          </w:rPr>
          <m:t>[0, 1]</m:t>
        </m:r>
      </m:oMath>
      <w:r w:rsidR="000D4FA1" w:rsidRPr="000D4FA1">
        <w:rPr>
          <w:rFonts w:ascii="Times New Roman" w:eastAsiaTheme="minorEastAsia" w:hAnsi="Times New Roman" w:cs="Times New Roman"/>
          <w:sz w:val="28"/>
          <w:szCs w:val="28"/>
        </w:rPr>
        <w:t xml:space="preserve">. </w:t>
      </w:r>
      <w:r w:rsidR="000D4FA1">
        <w:rPr>
          <w:rFonts w:ascii="Times New Roman" w:eastAsiaTheme="minorEastAsia" w:hAnsi="Times New Roman" w:cs="Times New Roman"/>
          <w:sz w:val="28"/>
          <w:szCs w:val="28"/>
        </w:rPr>
        <w:t>Далее для каждого пути определяется случайный момент смерти по принципу:</w:t>
      </w:r>
    </w:p>
    <w:p w:rsidR="000D4FA1" w:rsidRPr="000D4FA1" w:rsidRDefault="000D4FA1" w:rsidP="00096402">
      <w:pPr>
        <w:spacing w:line="360" w:lineRule="auto"/>
        <w:jc w:val="both"/>
        <w:rPr>
          <w:rFonts w:ascii="Times New Roman"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τ</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func>
                <m:funcPr>
                  <m:ctrlPr>
                    <w:rPr>
                      <w:rFonts w:ascii="Cambria Math" w:eastAsiaTheme="minorEastAsia" w:hAnsi="Cambria Math" w:cs="Times New Roman"/>
                      <w:sz w:val="28"/>
                      <w:szCs w:val="28"/>
                    </w:rPr>
                  </m:ctrlPr>
                </m:funcPr>
                <m:fName>
                  <m:r>
                    <m:rPr>
                      <m:sty m:val="p"/>
                    </m:rPr>
                    <w:rPr>
                      <w:rFonts w:ascii="Cambria Math" w:eastAsiaTheme="minorEastAsia" w:hAnsi="Cambria Math" w:cs="Times New Roman"/>
                      <w:sz w:val="28"/>
                      <w:szCs w:val="28"/>
                    </w:rPr>
                    <m:t>inf</m:t>
                  </m:r>
                </m:fName>
                <m:e>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≤t≤T</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r>
                            <w:rPr>
                              <w:rFonts w:ascii="Cambria Math" w:eastAsiaTheme="minorEastAsia" w:hAnsi="Cambria Math" w:cs="Times New Roman"/>
                              <w:sz w:val="28"/>
                              <w:szCs w:val="28"/>
                            </w:rPr>
                            <m:t>-</m:t>
                          </m:r>
                          <m:nary>
                            <m:naryPr>
                              <m:limLoc m:val="subSup"/>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0</m:t>
                              </m:r>
                            </m:sub>
                            <m:sup>
                              <m:r>
                                <w:rPr>
                                  <w:rFonts w:ascii="Cambria Math" w:eastAsiaTheme="minorEastAsia" w:hAnsi="Cambria Math" w:cs="Times New Roman"/>
                                  <w:sz w:val="28"/>
                                  <w:szCs w:val="28"/>
                                </w:rPr>
                                <m:t>t</m:t>
                              </m:r>
                            </m:sup>
                            <m:e>
                              <m:r>
                                <w:rPr>
                                  <w:rFonts w:ascii="Cambria Math" w:eastAsiaTheme="minorEastAsia" w:hAnsi="Cambria Math" w:cs="Times New Roman"/>
                                  <w:sz w:val="28"/>
                                  <w:szCs w:val="28"/>
                                </w:rPr>
                                <m:t>μ</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ξ+s</m:t>
                                  </m:r>
                                </m:e>
                              </m:d>
                            </m:e>
                          </m:nary>
                          <m:r>
                            <w:rPr>
                              <w:rFonts w:ascii="Cambria Math" w:eastAsiaTheme="minorEastAsia" w:hAnsi="Cambria Math" w:cs="Times New Roman"/>
                              <w:sz w:val="28"/>
                              <w:szCs w:val="28"/>
                            </w:rPr>
                            <m:t>ds</m:t>
                          </m:r>
                        </m:sup>
                      </m:sSup>
                      <m:r>
                        <w:rPr>
                          <w:rFonts w:ascii="Cambria Math" w:eastAsiaTheme="minorEastAsia" w:hAnsi="Cambria Math" w:cs="Times New Roman"/>
                          <w:sz w:val="28"/>
                          <w:szCs w:val="28"/>
                        </w:rPr>
                        <m:t>&lt;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i</m:t>
                          </m:r>
                        </m:sub>
                      </m:sSub>
                    </m:e>
                  </m:d>
                </m:e>
              </m:func>
              <m:r>
                <w:rPr>
                  <w:rFonts w:ascii="Cambria Math" w:eastAsiaTheme="minorEastAsia" w:hAnsi="Cambria Math" w:cs="Times New Roman"/>
                  <w:sz w:val="28"/>
                  <w:szCs w:val="28"/>
                  <w:lang w:val="en-US"/>
                </w:rPr>
                <m:t>,</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11</m:t>
                  </m:r>
                </m:e>
              </m:d>
              <m:ctrlPr>
                <w:rPr>
                  <w:rFonts w:ascii="Cambria Math" w:eastAsiaTheme="minorEastAsia" w:hAnsi="Cambria Math" w:cs="Times New Roman"/>
                  <w:i/>
                  <w:sz w:val="28"/>
                  <w:szCs w:val="28"/>
                </w:rPr>
              </m:ctrlPr>
            </m:e>
          </m:eqArr>
        </m:oMath>
      </m:oMathPara>
    </w:p>
    <w:p w:rsidR="00096402" w:rsidRDefault="000D4FA1" w:rsidP="0077245C">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где </w:t>
      </w:r>
      <m:oMath>
        <m:r>
          <w:rPr>
            <w:rFonts w:ascii="Cambria Math" w:eastAsiaTheme="minorEastAsia" w:hAnsi="Cambria Math" w:cs="Times New Roman"/>
            <w:sz w:val="28"/>
            <w:szCs w:val="28"/>
          </w:rPr>
          <m:t>ξ</m:t>
        </m:r>
      </m:oMath>
      <w:r>
        <w:rPr>
          <w:rFonts w:ascii="Times New Roman" w:eastAsiaTheme="minorEastAsia" w:hAnsi="Times New Roman" w:cs="Times New Roman"/>
          <w:sz w:val="28"/>
          <w:szCs w:val="28"/>
        </w:rPr>
        <w:t xml:space="preserve"> – возраст агента, который был на момент заключения контракта. Очевидно, что для мужчин и женщин функция </w:t>
      </w:r>
      <m:oMath>
        <m:r>
          <w:rPr>
            <w:rFonts w:ascii="Cambria Math" w:eastAsiaTheme="minorEastAsia" w:hAnsi="Cambria Math" w:cs="Times New Roman"/>
            <w:sz w:val="28"/>
            <w:szCs w:val="28"/>
          </w:rPr>
          <m:t>μ</m:t>
        </m:r>
      </m:oMath>
      <w:r>
        <w:rPr>
          <w:rFonts w:ascii="Times New Roman" w:eastAsiaTheme="minorEastAsia" w:hAnsi="Times New Roman" w:cs="Times New Roman"/>
          <w:sz w:val="28"/>
          <w:szCs w:val="28"/>
        </w:rPr>
        <w:t xml:space="preserve"> в примере отличается.</w:t>
      </w:r>
    </w:p>
    <w:p w:rsidR="000D4FA1" w:rsidRDefault="00BB2B92" w:rsidP="0077245C">
      <w:pPr>
        <w:spacing w:line="360" w:lineRule="auto"/>
        <w:jc w:val="both"/>
        <w:rPr>
          <w:rFonts w:ascii="Times New Roman" w:eastAsiaTheme="minorEastAsia" w:hAnsi="Times New Roman" w:cs="Times New Roman"/>
          <w:sz w:val="28"/>
          <w:szCs w:val="28"/>
        </w:rPr>
      </w:pPr>
      <w:r w:rsidRPr="00BB2B92">
        <w:rPr>
          <w:rFonts w:ascii="Times New Roman" w:eastAsiaTheme="minorEastAsia" w:hAnsi="Times New Roman" w:cs="Times New Roman"/>
          <w:sz w:val="28"/>
          <w:szCs w:val="28"/>
        </w:rPr>
        <w:drawing>
          <wp:inline distT="0" distB="0" distL="0" distR="0" wp14:anchorId="7168509D" wp14:editId="27C0213E">
            <wp:extent cx="5940425" cy="28587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858770"/>
                    </a:xfrm>
                    <a:prstGeom prst="rect">
                      <a:avLst/>
                    </a:prstGeom>
                  </pic:spPr>
                </pic:pic>
              </a:graphicData>
            </a:graphic>
          </wp:inline>
        </w:drawing>
      </w:r>
    </w:p>
    <w:p w:rsidR="000D4FA1" w:rsidRPr="000D4FA1" w:rsidRDefault="000D4FA1" w:rsidP="000D4FA1">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 Пример Монте-Карло симуляций для цены </w:t>
      </w:r>
      <w:r>
        <w:rPr>
          <w:rFonts w:ascii="Times New Roman" w:hAnsi="Times New Roman" w:cs="Times New Roman"/>
          <w:sz w:val="28"/>
          <w:szCs w:val="28"/>
          <w:lang w:val="en-US"/>
        </w:rPr>
        <w:t>IMOEX</w:t>
      </w:r>
      <w:r w:rsidRPr="000D4FA1">
        <w:rPr>
          <w:rFonts w:ascii="Times New Roman" w:hAnsi="Times New Roman" w:cs="Times New Roman"/>
          <w:sz w:val="28"/>
          <w:szCs w:val="28"/>
        </w:rPr>
        <w:t xml:space="preserve"> </w:t>
      </w:r>
      <w:r>
        <w:rPr>
          <w:rFonts w:ascii="Times New Roman" w:hAnsi="Times New Roman" w:cs="Times New Roman"/>
          <w:sz w:val="28"/>
          <w:szCs w:val="28"/>
        </w:rPr>
        <w:t>в риск-нейтральной мере (шаг во времени = 1 рабочий день).</w:t>
      </w:r>
    </w:p>
    <w:p w:rsidR="000D4FA1" w:rsidRDefault="00652DE0" w:rsidP="0077245C">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Важно отметить, что раздельная генерация путей цены и моментов смерти корректна при изначальном предположении о независимости случайных процессов, в ином случае требуются построение корреляционной структуры между фондовым рынком и смертностью в стране, а также совместная калибровка модели.</w:t>
      </w:r>
    </w:p>
    <w:p w:rsidR="001D7CD7" w:rsidRDefault="001D7CD7" w:rsidP="0077245C">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Результаты расчетов (см. Таблицу 3) были получены с изначальными параметрами и предположениями: </w:t>
      </w:r>
    </w:p>
    <w:p w:rsidR="001D7CD7" w:rsidRPr="001D7CD7" w:rsidRDefault="001D7CD7" w:rsidP="001D7CD7">
      <w:pPr>
        <w:pStyle w:val="a7"/>
        <w:numPr>
          <w:ilvl w:val="0"/>
          <w:numId w:val="3"/>
        </w:numPr>
        <w:spacing w:line="360" w:lineRule="auto"/>
        <w:jc w:val="both"/>
        <w:rPr>
          <w:rFonts w:ascii="Times New Roman" w:eastAsiaTheme="minorEastAsia" w:hAnsi="Times New Roman" w:cs="Times New Roman"/>
          <w:sz w:val="28"/>
          <w:szCs w:val="28"/>
          <w:lang w:val="en-US"/>
        </w:rPr>
      </w:pPr>
      <m:oMath>
        <m:r>
          <w:rPr>
            <w:rFonts w:ascii="Cambria Math" w:eastAsiaTheme="minorEastAsia" w:hAnsi="Cambria Math" w:cs="Times New Roman"/>
            <w:sz w:val="28"/>
            <w:szCs w:val="28"/>
          </w:rPr>
          <m:t>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5, 10, 20</m:t>
            </m:r>
          </m:e>
        </m:d>
      </m:oMath>
      <w:r w:rsidR="00E90986">
        <w:rPr>
          <w:rFonts w:ascii="Times New Roman" w:eastAsiaTheme="minorEastAsia" w:hAnsi="Times New Roman" w:cs="Times New Roman"/>
          <w:sz w:val="28"/>
          <w:szCs w:val="28"/>
          <w:lang w:val="en-US"/>
        </w:rPr>
        <w:t xml:space="preserve"> </w:t>
      </w:r>
      <w:r w:rsidR="00E90986">
        <w:rPr>
          <w:rFonts w:ascii="Times New Roman" w:eastAsiaTheme="minorEastAsia" w:hAnsi="Times New Roman" w:cs="Times New Roman"/>
          <w:sz w:val="28"/>
          <w:szCs w:val="28"/>
        </w:rPr>
        <w:t>лет</w:t>
      </w:r>
    </w:p>
    <w:p w:rsidR="001D7CD7" w:rsidRPr="001D7CD7" w:rsidRDefault="001D7CD7" w:rsidP="0077245C">
      <w:pPr>
        <w:pStyle w:val="a7"/>
        <w:numPr>
          <w:ilvl w:val="0"/>
          <w:numId w:val="3"/>
        </w:numPr>
        <w:spacing w:line="360" w:lineRule="auto"/>
        <w:jc w:val="both"/>
        <w:rPr>
          <w:rFonts w:ascii="Times New Roman" w:eastAsiaTheme="minorEastAsia" w:hAnsi="Times New Roman" w:cs="Times New Roman"/>
          <w:sz w:val="28"/>
          <w:szCs w:val="28"/>
          <w:lang w:val="en-US"/>
        </w:rPr>
      </w:pPr>
      <m:oMath>
        <m:r>
          <w:rPr>
            <w:rFonts w:ascii="Cambria Math" w:eastAsiaTheme="minorEastAsia" w:hAnsi="Cambria Math" w:cs="Times New Roman"/>
            <w:sz w:val="28"/>
            <w:szCs w:val="28"/>
          </w:rPr>
          <m:t>(k; ξ)∈</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(3,5; 25), (3; 45), (2,5; 65)</m:t>
            </m:r>
          </m:e>
        </m:d>
      </m:oMath>
      <w:r w:rsidR="00E90986">
        <w:rPr>
          <w:rFonts w:ascii="Times New Roman" w:eastAsiaTheme="minorEastAsia" w:hAnsi="Times New Roman" w:cs="Times New Roman"/>
          <w:sz w:val="28"/>
          <w:szCs w:val="28"/>
        </w:rPr>
        <w:t xml:space="preserve"> (мультипликатор</w:t>
      </w:r>
      <w:r w:rsidR="00E90986">
        <w:rPr>
          <w:rFonts w:ascii="Times New Roman" w:eastAsiaTheme="minorEastAsia" w:hAnsi="Times New Roman" w:cs="Times New Roman"/>
          <w:sz w:val="28"/>
          <w:szCs w:val="28"/>
          <w:lang w:val="en-US"/>
        </w:rPr>
        <w:t xml:space="preserve">; </w:t>
      </w:r>
      <w:r w:rsidR="00E90986">
        <w:rPr>
          <w:rFonts w:ascii="Times New Roman" w:eastAsiaTheme="minorEastAsia" w:hAnsi="Times New Roman" w:cs="Times New Roman"/>
          <w:sz w:val="28"/>
          <w:szCs w:val="28"/>
        </w:rPr>
        <w:t>возраст)</w:t>
      </w:r>
    </w:p>
    <w:p w:rsidR="001D7CD7" w:rsidRPr="00553089" w:rsidRDefault="001D7CD7" w:rsidP="0077245C">
      <w:pPr>
        <w:pStyle w:val="a7"/>
        <w:numPr>
          <w:ilvl w:val="0"/>
          <w:numId w:val="3"/>
        </w:numPr>
        <w:spacing w:line="36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m:t>
        </m:r>
        <m:r>
          <w:rPr>
            <w:rFonts w:ascii="Cambria Math" w:eastAsiaTheme="minorEastAsia" w:hAnsi="Cambria Math" w:cs="Times New Roman"/>
            <w:sz w:val="28"/>
            <w:szCs w:val="28"/>
          </w:rPr>
          <m:t>100</m:t>
        </m:r>
      </m:oMath>
      <w:r w:rsidR="00553089">
        <w:rPr>
          <w:rFonts w:ascii="Times New Roman" w:eastAsiaTheme="minorEastAsia" w:hAnsi="Times New Roman" w:cs="Times New Roman"/>
          <w:sz w:val="28"/>
          <w:szCs w:val="28"/>
        </w:rPr>
        <w:t xml:space="preserve"> тыс.</w:t>
      </w:r>
      <w:r w:rsidRPr="0055308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рублей</w:t>
      </w:r>
      <w:r w:rsidR="00553089">
        <w:rPr>
          <w:rFonts w:ascii="Times New Roman" w:eastAsiaTheme="minorEastAsia" w:hAnsi="Times New Roman" w:cs="Times New Roman"/>
          <w:sz w:val="28"/>
          <w:szCs w:val="28"/>
        </w:rPr>
        <w:t xml:space="preserve"> (единовременный взнос при заключении договора)</w:t>
      </w:r>
    </w:p>
    <w:p w:rsidR="001D7CD7" w:rsidRPr="00553089" w:rsidRDefault="001D7CD7" w:rsidP="001D7CD7">
      <w:pPr>
        <w:pStyle w:val="a7"/>
        <w:numPr>
          <w:ilvl w:val="0"/>
          <w:numId w:val="3"/>
        </w:numPr>
        <w:spacing w:line="36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lang w:val="en-US"/>
          </w:rPr>
          <m:t>α</m:t>
        </m:r>
        <m:r>
          <w:rPr>
            <w:rFonts w:ascii="Cambria Math" w:eastAsiaTheme="minorEastAsia" w:hAnsi="Cambria Math" w:cs="Times New Roman"/>
            <w:sz w:val="28"/>
            <w:szCs w:val="28"/>
          </w:rPr>
          <m:t>=0.9</m:t>
        </m:r>
      </m:oMath>
      <w:r w:rsidR="00553089">
        <w:rPr>
          <w:rFonts w:ascii="Times New Roman" w:eastAsiaTheme="minorEastAsia" w:hAnsi="Times New Roman" w:cs="Times New Roman"/>
          <w:sz w:val="28"/>
          <w:szCs w:val="28"/>
        </w:rPr>
        <w:t xml:space="preserve"> (</w:t>
      </w:r>
      <w:r w:rsidR="00553089" w:rsidRPr="00553089">
        <w:rPr>
          <w:rFonts w:ascii="Times New Roman" w:eastAsiaTheme="minorEastAsia" w:hAnsi="Times New Roman" w:cs="Times New Roman"/>
          <w:sz w:val="28"/>
          <w:szCs w:val="28"/>
        </w:rPr>
        <w:t xml:space="preserve">90% </w:t>
      </w:r>
      <w:r w:rsidR="00553089">
        <w:rPr>
          <w:rFonts w:ascii="Times New Roman" w:eastAsiaTheme="minorEastAsia" w:hAnsi="Times New Roman" w:cs="Times New Roman"/>
          <w:sz w:val="28"/>
          <w:szCs w:val="28"/>
        </w:rPr>
        <w:t>взноса идут на покупку ПИФ)</w:t>
      </w:r>
    </w:p>
    <w:p w:rsidR="001D7CD7" w:rsidRDefault="001D7CD7" w:rsidP="001D7CD7">
      <w:pPr>
        <w:pStyle w:val="a7"/>
        <w:numPr>
          <w:ilvl w:val="0"/>
          <w:numId w:val="3"/>
        </w:numPr>
        <w:spacing w:line="360" w:lineRule="auto"/>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lang w:val="en-US"/>
          </w:rPr>
          <m:t>G</m:t>
        </m:r>
        <m:r>
          <w:rPr>
            <w:rFonts w:ascii="Cambria Math" w:eastAsiaTheme="minorEastAsia" w:hAnsi="Cambria Math" w:cs="Times New Roman"/>
            <w:sz w:val="28"/>
            <w:szCs w:val="28"/>
          </w:rPr>
          <m:t>=0</m:t>
        </m:r>
      </m:oMath>
      <w:r w:rsidR="00553089">
        <w:rPr>
          <w:rFonts w:ascii="Times New Roman" w:eastAsiaTheme="minorEastAsia" w:hAnsi="Times New Roman" w:cs="Times New Roman"/>
          <w:sz w:val="28"/>
          <w:szCs w:val="28"/>
        </w:rPr>
        <w:t xml:space="preserve"> (отсутствует гарантия по возврату капитала)</w:t>
      </w:r>
    </w:p>
    <w:p w:rsidR="00553089" w:rsidRDefault="00553089" w:rsidP="001D7CD7">
      <w:pPr>
        <w:pStyle w:val="a7"/>
        <w:numPr>
          <w:ilvl w:val="0"/>
          <w:numId w:val="3"/>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Количество симуляций Монте-Карло: 500 тыс. путей</w:t>
      </w:r>
    </w:p>
    <w:p w:rsidR="00DC6759" w:rsidRPr="00DC6759" w:rsidRDefault="00DC6759" w:rsidP="00DC6759">
      <w:pPr>
        <w:pStyle w:val="a7"/>
        <w:numPr>
          <w:ilvl w:val="0"/>
          <w:numId w:val="3"/>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Шаг во времени: 1 рабочий день</w:t>
      </w:r>
    </w:p>
    <w:p w:rsidR="00DC6759" w:rsidRPr="00DC6759" w:rsidRDefault="00DC6759" w:rsidP="00553089">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Дополнительно в симуляции был использован метод обратных величин </w:t>
      </w:r>
      <w:r w:rsidRPr="00DC6759">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Antithetic</w:t>
      </w:r>
      <w:r w:rsidRPr="00DC675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variates</w:t>
      </w:r>
      <w:r w:rsidRPr="00DC675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для уменьшения дисперсии результатов.</w:t>
      </w:r>
    </w:p>
    <w:p w:rsidR="00553089" w:rsidRDefault="00553089" w:rsidP="00553089">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Важным уточнением является тот факт, что параметры </w:t>
      </w:r>
      <m:oMath>
        <m:r>
          <w:rPr>
            <w:rFonts w:ascii="Cambria Math" w:eastAsiaTheme="minorEastAsia" w:hAnsi="Cambria Math" w:cs="Times New Roman"/>
            <w:sz w:val="28"/>
            <w:szCs w:val="28"/>
          </w:rPr>
          <m:t>k</m:t>
        </m:r>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α</m:t>
        </m:r>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lang w:val="en-US"/>
          </w:rPr>
          <m:t>G</m:t>
        </m:r>
      </m:oMath>
      <w:r>
        <w:rPr>
          <w:rFonts w:ascii="Times New Roman" w:eastAsiaTheme="minorEastAsia" w:hAnsi="Times New Roman" w:cs="Times New Roman"/>
          <w:sz w:val="28"/>
          <w:szCs w:val="28"/>
        </w:rPr>
        <w:t xml:space="preserve"> строго не регламентируются законодательством. Существуют лишь рекомендации</w:t>
      </w:r>
      <w:r>
        <w:rPr>
          <w:rStyle w:val="a6"/>
          <w:rFonts w:ascii="Times New Roman" w:eastAsiaTheme="minorEastAsia" w:hAnsi="Times New Roman" w:cs="Times New Roman"/>
          <w:sz w:val="28"/>
          <w:szCs w:val="28"/>
        </w:rPr>
        <w:footnoteReference w:id="2"/>
      </w:r>
      <w:r>
        <w:rPr>
          <w:rFonts w:ascii="Times New Roman" w:eastAsiaTheme="minorEastAsia" w:hAnsi="Times New Roman" w:cs="Times New Roman"/>
          <w:sz w:val="28"/>
          <w:szCs w:val="28"/>
        </w:rPr>
        <w:t xml:space="preserve"> регулятора о размерах мультипликатора. Точечная конфигурация контракта определяется в момент заключения. Причем, так как агенты не репрезентативны с точки зрения распределения случайной величины </w:t>
      </w:r>
      <m:oMath>
        <m:r>
          <w:rPr>
            <w:rFonts w:ascii="Cambria Math" w:eastAsiaTheme="minorEastAsia" w:hAnsi="Cambria Math" w:cs="Times New Roman"/>
            <w:sz w:val="28"/>
            <w:szCs w:val="28"/>
          </w:rPr>
          <m:t>τ</m:t>
        </m:r>
      </m:oMath>
      <w:r>
        <w:rPr>
          <w:rFonts w:ascii="Times New Roman" w:eastAsiaTheme="minorEastAsia" w:hAnsi="Times New Roman" w:cs="Times New Roman"/>
          <w:sz w:val="28"/>
          <w:szCs w:val="28"/>
        </w:rPr>
        <w:t>, параметры контракта также могут варьироваться в зависимости от специфики агента.</w:t>
      </w:r>
    </w:p>
    <w:p w:rsidR="00C65424" w:rsidRDefault="00C65424" w:rsidP="00C65424">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Таблица 3. </w:t>
      </w:r>
      <w:r w:rsidR="00AF73D5">
        <w:rPr>
          <w:rFonts w:ascii="Times New Roman" w:hAnsi="Times New Roman" w:cs="Times New Roman"/>
          <w:sz w:val="28"/>
          <w:szCs w:val="28"/>
        </w:rPr>
        <w:t>История изменения справедливой стоимости и распределения доходности</w:t>
      </w:r>
    </w:p>
    <w:tbl>
      <w:tblPr>
        <w:tblStyle w:val="aa"/>
        <w:tblW w:w="0" w:type="auto"/>
        <w:tblLook w:val="04A0" w:firstRow="1" w:lastRow="0" w:firstColumn="1" w:lastColumn="0" w:noHBand="0" w:noVBand="1"/>
      </w:tblPr>
      <w:tblGrid>
        <w:gridCol w:w="1691"/>
        <w:gridCol w:w="1092"/>
        <w:gridCol w:w="474"/>
        <w:gridCol w:w="594"/>
        <w:gridCol w:w="1063"/>
        <w:gridCol w:w="923"/>
        <w:gridCol w:w="872"/>
        <w:gridCol w:w="872"/>
        <w:gridCol w:w="892"/>
        <w:gridCol w:w="872"/>
      </w:tblGrid>
      <w:tr w:rsidR="00E90986" w:rsidRPr="00C65424" w:rsidTr="006470BA">
        <w:trPr>
          <w:trHeight w:val="300"/>
        </w:trPr>
        <w:tc>
          <w:tcPr>
            <w:tcW w:w="1691"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T</m:t>
                    </m:r>
                  </m:e>
                  <m:sub>
                    <m:r>
                      <w:rPr>
                        <w:rFonts w:ascii="Cambria Math" w:eastAsiaTheme="minorEastAsia" w:hAnsi="Cambria Math" w:cs="Times New Roman"/>
                        <w:sz w:val="20"/>
                        <w:szCs w:val="20"/>
                        <w:lang w:val="en-US"/>
                      </w:rPr>
                      <m:t>0</m:t>
                    </m:r>
                  </m:sub>
                </m:sSub>
              </m:oMath>
            </m:oMathPara>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Пол</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ξ</m:t>
                </m:r>
              </m:oMath>
            </m:oMathPara>
          </w:p>
        </w:tc>
        <w:tc>
          <w:tcPr>
            <w:tcW w:w="594" w:type="dxa"/>
            <w:noWrap/>
            <w:hideMark/>
          </w:tcPr>
          <w:p w:rsidR="00C65424" w:rsidRPr="00E90986" w:rsidRDefault="00E90986" w:rsidP="00E90986">
            <w:pPr>
              <w:spacing w:line="360" w:lineRule="auto"/>
              <w:jc w:val="both"/>
              <w:rPr>
                <w:rFonts w:ascii="Times New Roman" w:eastAsiaTheme="minorEastAsia" w:hAnsi="Times New Roman" w:cs="Times New Roman"/>
                <w:i/>
                <w:sz w:val="20"/>
                <w:szCs w:val="20"/>
                <w:lang w:val="en-US"/>
              </w:rPr>
            </w:pPr>
            <m:oMathPara>
              <m:oMath>
                <m:r>
                  <w:rPr>
                    <w:rFonts w:ascii="Cambria Math" w:eastAsiaTheme="minorEastAsia" w:hAnsi="Cambria Math" w:cs="Times New Roman"/>
                    <w:sz w:val="20"/>
                    <w:szCs w:val="20"/>
                    <w:lang w:val="en-US"/>
                  </w:rPr>
                  <m:t>T</m:t>
                </m:r>
              </m:oMath>
            </m:oMathPara>
          </w:p>
        </w:tc>
        <w:tc>
          <w:tcPr>
            <w:tcW w:w="1063" w:type="dxa"/>
            <w:noWrap/>
            <w:hideMark/>
          </w:tcPr>
          <w:p w:rsidR="00C65424" w:rsidRPr="00E90986" w:rsidRDefault="00E90986" w:rsidP="00C65424">
            <w:pPr>
              <w:spacing w:line="360" w:lineRule="auto"/>
              <w:jc w:val="both"/>
              <w:rPr>
                <w:rFonts w:ascii="Times New Roman" w:eastAsiaTheme="minorEastAsia" w:hAnsi="Times New Roman" w:cs="Times New Roman"/>
                <w:i/>
                <w:sz w:val="20"/>
                <w:szCs w:val="20"/>
              </w:rPr>
            </w:pPr>
            <m:oMathPara>
              <m:oMath>
                <m:r>
                  <w:rPr>
                    <w:rFonts w:ascii="Cambria Math" w:eastAsiaTheme="minorEastAsia" w:hAnsi="Cambria Math" w:cs="Times New Roman"/>
                    <w:sz w:val="20"/>
                    <w:szCs w:val="20"/>
                    <w:lang w:val="en-US"/>
                  </w:rPr>
                  <m:t>PV</m:t>
                </m:r>
              </m:oMath>
            </m:oMathPara>
          </w:p>
        </w:tc>
        <w:tc>
          <w:tcPr>
            <w:tcW w:w="92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Q</m:t>
                    </m:r>
                  </m:e>
                  <m:sub>
                    <m:r>
                      <w:rPr>
                        <w:rFonts w:ascii="Cambria Math" w:eastAsiaTheme="minorEastAsia" w:hAnsi="Cambria Math" w:cs="Times New Roman"/>
                        <w:sz w:val="20"/>
                        <w:szCs w:val="20"/>
                        <w:lang w:val="en-US"/>
                      </w:rPr>
                      <m:t>5</m:t>
                    </m:r>
                  </m:sub>
                </m:sSub>
              </m:oMath>
            </m:oMathPara>
          </w:p>
        </w:tc>
        <w:tc>
          <w:tcPr>
            <w:tcW w:w="872"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Q</m:t>
                    </m:r>
                  </m:e>
                  <m:sub>
                    <m:r>
                      <w:rPr>
                        <w:rFonts w:ascii="Cambria Math" w:eastAsiaTheme="minorEastAsia" w:hAnsi="Cambria Math" w:cs="Times New Roman"/>
                        <w:sz w:val="20"/>
                        <w:szCs w:val="20"/>
                        <w:lang w:val="en-US"/>
                      </w:rPr>
                      <m:t>95</m:t>
                    </m:r>
                  </m:sub>
                </m:sSub>
              </m:oMath>
            </m:oMathPara>
          </w:p>
        </w:tc>
        <w:tc>
          <w:tcPr>
            <w:tcW w:w="872"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lang w:val="en-US"/>
                  </w:rPr>
                  <m:t>mean</m:t>
                </m:r>
              </m:oMath>
            </m:oMathPara>
          </w:p>
        </w:tc>
        <w:tc>
          <w:tcPr>
            <w:tcW w:w="892" w:type="dxa"/>
            <w:noWrap/>
            <w:hideMark/>
          </w:tcPr>
          <w:p w:rsidR="00C65424" w:rsidRPr="00E90986" w:rsidRDefault="00E90986" w:rsidP="00C65424">
            <w:pPr>
              <w:spacing w:line="360" w:lineRule="auto"/>
              <w:jc w:val="both"/>
              <w:rPr>
                <w:rFonts w:ascii="Times New Roman" w:eastAsiaTheme="minorEastAsia" w:hAnsi="Times New Roman" w:cs="Times New Roman"/>
                <w:b/>
                <w:sz w:val="20"/>
                <w:szCs w:val="20"/>
              </w:rPr>
            </w:pPr>
            <m:oMathPara>
              <m:oMath>
                <m:r>
                  <w:rPr>
                    <w:rFonts w:ascii="Cambria Math" w:eastAsiaTheme="minorEastAsia" w:hAnsi="Cambria Math" w:cs="Times New Roman"/>
                    <w:sz w:val="20"/>
                    <w:szCs w:val="20"/>
                    <w:lang w:val="en-US"/>
                  </w:rPr>
                  <m:t>median</m:t>
                </m:r>
              </m:oMath>
            </m:oMathPara>
          </w:p>
        </w:tc>
        <w:tc>
          <w:tcPr>
            <w:tcW w:w="872"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lang w:val="en-US"/>
                  </w:rPr>
                  <m:t>std</m:t>
                </m:r>
              </m:oMath>
            </m:oMathPara>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90987,71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-0,1120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0,1525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0,0318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0,0826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91001,01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-0,0619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0,1214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0,0591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92295,77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-0,0153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0,0987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0,0516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0,0401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94121,18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-0,1171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0,1546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0,0306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0,0876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96747,85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-0,0687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0,1228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0,0413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0,0640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99452,48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-0,0255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0,1008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0,0441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102620,2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-0,1215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0,1542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0,0284</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0,0373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0,0927</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112217,3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-0,0825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0,1247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0,0373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0,0778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122521,3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-0,0551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0,1086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0,0433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0,0554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0,0736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93671,58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-0,1189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0,1552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0,0309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0,0865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95902,76</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-0,0669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0,1227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0,0618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lastRenderedPageBreak/>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99854,20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-0,0224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0,1005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100841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-0,1257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0,1561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0,0283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0,0377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0,0922</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107741,4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-0,0771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0,1245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0,0765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114611,9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-0,0435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0,0449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0,0676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120082,9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-0,1431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0,1582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0,0222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0,1104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137800,8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-0,1182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0,1306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0,0309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0,0961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148775,2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-0,1055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0,1205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0,0521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0,0959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89072,68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-0,1232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0,1517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0,0271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0,0848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89480,93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-0,0752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0,1233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0,0392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0,0650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90102,81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-0,0217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0,0995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91999,27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-0,1241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0,1507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0,0260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0,0879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93728,60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-0,0759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0,1229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0,0663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96118,75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-0,0275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0,1002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100717,8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-0,1386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0,1520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0,0221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0,0995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106945,4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-0,0870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0,1242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0,0798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116512,1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-0,0622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0,1083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0,0403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0,0541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0,0767</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91989,49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-0,1294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0,1540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0,0259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0,0893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93298,40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-0,0776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0,1230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0,0663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96077,09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-0,0297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0,1013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99534,37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-0,1329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0,1516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0,0230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0,0962</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lastRenderedPageBreak/>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105144,4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-0,0882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0,1227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0,0760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109281,5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0,0438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0,0550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0,0657</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116956,6</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-0,1654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0,1545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0,0149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0,0299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0,1181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130924,1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-0,1310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0,1300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0,0257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0,0433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0,1018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139704,5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-0,1176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0,1188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0,0297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0,1015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89221,13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-0,1427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0,1621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0,0255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0,0934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89448,65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-0,0748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0,1235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0,0393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0,0641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89987,02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-0,0253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0,1013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0,0409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92014,85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-0,1378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0,1583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0,0247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0,0946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94398,81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-0,0848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0,1260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0,0377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0,0701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95542,05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0,0511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99859,34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-0,1536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0,1623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0,0207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0,1083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106442,3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-0,1078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0,1305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0,0874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111686,4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-0,0684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0,1102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0,0407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0,0537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0,0735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92531,84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-0,1437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0,1614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0,0248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0,0945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94183,52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-0,0834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0,0378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0,0706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94542,50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0,1020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0,0510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98608,82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-0,1484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0,1594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0,0213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102929,9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-0,0996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0,1281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0,0845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106234,2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-0,0588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0,1066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0,0549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0,0696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lastRenderedPageBreak/>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115695,7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-0,1839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0,1647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0,0134</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0,0307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0,1256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127073,8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-0,1399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0,1359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0,0257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0,0440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0,1084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133303,0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-0,1306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0,1231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0,0286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0,1069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90145,15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-0,1361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0,1611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0,0270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0,0950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90637,70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-0,0755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0,1256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0,0402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0,0647</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90795,83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-0,0278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0,1023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93201,38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0,1613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0,0275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0,0921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94949,94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-0,0836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0,1273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0,0717</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96120,61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0,1046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101053,2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-0,1455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0,1606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0,0233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0,1040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107297,7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-0,0986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0,1297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0,0811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114142,6</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-0,0718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0,1111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0,0413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0,0543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0,0723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92798,04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-0,1371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0,1614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0,0269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0,0939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94759,15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-0,0799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0,1272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0,0392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0,0685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96319,92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-0,0309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10038</w:t>
            </w:r>
            <w:r w:rsidR="00E90986">
              <w:rPr>
                <w:rFonts w:ascii="Times New Roman" w:eastAsiaTheme="minorEastAsia" w:hAnsi="Times New Roman" w:cs="Times New Roman"/>
                <w:sz w:val="20"/>
                <w:szCs w:val="20"/>
              </w:rPr>
              <w:t>1,4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-0,1448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0,1623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0,0246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0,1016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104275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-0,0908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0,0792</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108237,5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0,1072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0,0435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0,0713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118130,1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-0,1691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0,1637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0,0181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0,1180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128841,7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-0,1413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0,1393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0,0263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0,0450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0,1099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lastRenderedPageBreak/>
              <w:t>Конец 4 квартала 24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135720,9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-0,1271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0,1263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0,0309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0,0997</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88081,60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0,1497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0,0240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0,0880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88605,48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-0,0729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0,1212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0,0625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89033,73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-0,0250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0,0999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90887,91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-0,1405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0,1543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0,0218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0,0311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0,0949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92790,28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-0,0769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0,1215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0,0698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94364,52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0,1012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0,0555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0,0534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98727,33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-0,1426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0,1520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0,0196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0,0303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0,0999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105685,8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-0,0991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0,1244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0,0454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0,0823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112125,6</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-0,0652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0,1088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0,0396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0,0534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0,0742</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91479,21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-0,1306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0,1502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0,0229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0,0316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0,0907</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92969,31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-0,0791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0,1227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0,0371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0,0683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94189,49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-0,0308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0,1009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0,0558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98228,71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-0,1459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0,1546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0,0196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0,0309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0,1025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103314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0,1248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0,0826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107254,8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-0,0515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0,0544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0,0663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116133,5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-0,1812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0,1578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0,0097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0,1229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128384,4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-0,1365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0,1298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0,0226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0,0417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0,1078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1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134717,7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-0,1293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0,1212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0,0272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0,1054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89233,02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-0,1339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0,0250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0,0918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lastRenderedPageBreak/>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89489,04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0,1268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0,0377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0,0683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90191,24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-0,0281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0,1022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0,0445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92493,03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-0,1417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0,1588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0,0236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0,0963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94362,08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-0,0829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0,1254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0,0370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0,0718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96468,09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0,0522</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100071,8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-0,1572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0,1610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0,0195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0,0319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0,1078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109219,4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-0,0984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0,1271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0,0805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117985,3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-0,0716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0,1102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0,0393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0,0531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0,0790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91894,21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-0,1430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0,1595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0,0236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0,0961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94849,40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-0,0846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0,1261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0,0373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0,0698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96733,80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-0,0312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0,0484</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99747,73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-0,1487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0,1604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0,0216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0,1020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105093,5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-0,0966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0,1290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0,0831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111580,9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0,0434</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0,0552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0,0661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117016,6</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-0,1805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0,1625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0,0129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0,0293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0,1233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132901,3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-0,1534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0,1352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0,0225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0,1134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143213,8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-0,1349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0,1230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0,0277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0,1089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89386,15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-0,1500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0,1648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0,0242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0,0976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90043,95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0,1284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0,0376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0,0719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91046,07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-0,0308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lastRenderedPageBreak/>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92571,72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-0,1487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0,1638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0,0235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0,0995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95046,17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-0,0916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0,1285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0,0738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97516,01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0,1056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0,0541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101</w:t>
            </w:r>
            <w:r w:rsidR="00C65424" w:rsidRPr="00C65424">
              <w:rPr>
                <w:rFonts w:ascii="Times New Roman" w:eastAsiaTheme="minorEastAsia" w:hAnsi="Times New Roman" w:cs="Times New Roman"/>
                <w:sz w:val="20"/>
                <w:szCs w:val="20"/>
              </w:rPr>
              <w:t>89,22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-0,1598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0,1656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0,0202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0,1096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110787,5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-0,1111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0,1338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0,0854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121751,2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-0,0767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0,1147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0,0399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0,0537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0,0799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92074,95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-0,1544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0,1658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0,0232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0,1004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95323,50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-0,0945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0,1290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0,0761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99054,72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0,1040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0,0533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100598,1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-0,1612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0,1673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0,0212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0,1066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106798,4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-0,1068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0,1306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0,0864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112611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-0,0608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0,1087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0,0551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0,0740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118534,6</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-0,1864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0,1665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0,0140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0,0296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0,1227</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136070,8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-0,1524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0,1386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0,0223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0,0433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0,1156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3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147994,3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-0,1385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0,1243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0,0270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0,1117</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89344,05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-0,1442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0,1621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0,0248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0,0946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90578,72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-0,0836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0,1266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0,0671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91160,63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-0,0296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0,1028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0,0426</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92968,80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-0,1465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0,1623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0,0236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0,0992</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95528,09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-0,0911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0,1280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0,0740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lastRenderedPageBreak/>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98218,15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0,0529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101412,7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-0,1585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0,1632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0,0203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0,1074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111786</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-0,1046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0,1304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0,0460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0,0888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124652,1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-0,0756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0,1112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0,0395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0,0540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0,0795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92444,44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-0,1480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0,1632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0,0238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0,0980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96828,66</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-0,0929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0,1280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0,0739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99151,62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100222,8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-0,1511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0,1611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0,0218</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107957,1</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0,1293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0,0335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0,0830</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115142,9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0,1088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0,0548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0,0739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120444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-0,1840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0,1650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0,0137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0,0294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0,1211</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138395,4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-0,1473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0,0229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0,1095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4 квартала 25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152021,2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-0,1349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0,1252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0,0291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0,1045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90315,34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-0,1391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0,1632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0,0274</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0,0945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90993,55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-0,0816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0,1278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0,0397</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0,0677</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92285,47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-0,0276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0,0502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0,0442</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93229,86</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-0,1392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0,1625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0,0269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0,0959</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96342,73</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-0,0837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0,1273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0,0725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98996,04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0,0481</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0,0569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0,0534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102216,4</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-0,1557</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0,1675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0,0233</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0,1062</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lastRenderedPageBreak/>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111622,2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-0,0996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0,1310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0,0349</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0,0834</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Женщина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123148,8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-0,0678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0,1133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0,0422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0,0550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0,0738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93640,88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-0,1434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0,1638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0,0266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0,0963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96593,49</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-0,0911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0,1296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0,0385</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0,0715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99456,80</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0,1049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0,0492</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0,0574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0,0478</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101958,6</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-0,1464</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0,1626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0,0240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0,1042</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108268</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-0,0982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0,1310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0,0350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0,0480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0,0843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45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114871,2</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-0,0558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0,1080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0,0440</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0,0555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0,0685</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5</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121301,7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-0,1753</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0,1670</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0,0166</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0,0322</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0,1233</w:t>
            </w:r>
          </w:p>
        </w:tc>
      </w:tr>
      <w:tr w:rsidR="00E90986" w:rsidRPr="00C65424" w:rsidTr="006470BA">
        <w:trPr>
          <w:trHeight w:val="300"/>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10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137011,5</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-0,1426</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0,1385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0,0264</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0,0445</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0,1083</w:t>
            </w:r>
          </w:p>
        </w:tc>
      </w:tr>
      <w:tr w:rsidR="00E90986" w:rsidRPr="00C65424" w:rsidTr="006470BA">
        <w:trPr>
          <w:trHeight w:val="357"/>
        </w:trPr>
        <w:tc>
          <w:tcPr>
            <w:tcW w:w="1691"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Конец 2 месяца 26 года</w:t>
            </w:r>
          </w:p>
        </w:tc>
        <w:tc>
          <w:tcPr>
            <w:tcW w:w="10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Мужчина</w:t>
            </w:r>
          </w:p>
        </w:tc>
        <w:tc>
          <w:tcPr>
            <w:tcW w:w="47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65</w:t>
            </w:r>
          </w:p>
        </w:tc>
        <w:tc>
          <w:tcPr>
            <w:tcW w:w="594"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20</w:t>
            </w:r>
          </w:p>
        </w:tc>
        <w:tc>
          <w:tcPr>
            <w:tcW w:w="1063" w:type="dxa"/>
            <w:noWrap/>
            <w:hideMark/>
          </w:tcPr>
          <w:p w:rsidR="00C65424" w:rsidRPr="00C65424" w:rsidRDefault="00E90986" w:rsidP="00C65424">
            <w:pPr>
              <w:spacing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149437</w:t>
            </w:r>
          </w:p>
        </w:tc>
        <w:tc>
          <w:tcPr>
            <w:tcW w:w="923"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-0,1278</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0,1291</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0,0314</w:t>
            </w:r>
          </w:p>
        </w:tc>
        <w:tc>
          <w:tcPr>
            <w:tcW w:w="89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0,0519</w:t>
            </w:r>
          </w:p>
        </w:tc>
        <w:tc>
          <w:tcPr>
            <w:tcW w:w="872" w:type="dxa"/>
            <w:noWrap/>
            <w:hideMark/>
          </w:tcPr>
          <w:p w:rsidR="00C65424" w:rsidRPr="00C65424" w:rsidRDefault="00C65424" w:rsidP="00C65424">
            <w:pPr>
              <w:spacing w:line="360" w:lineRule="auto"/>
              <w:jc w:val="both"/>
              <w:rPr>
                <w:rFonts w:ascii="Times New Roman" w:eastAsiaTheme="minorEastAsia" w:hAnsi="Times New Roman" w:cs="Times New Roman"/>
                <w:sz w:val="20"/>
                <w:szCs w:val="20"/>
              </w:rPr>
            </w:pPr>
            <w:r w:rsidRPr="00C65424">
              <w:rPr>
                <w:rFonts w:ascii="Times New Roman" w:eastAsiaTheme="minorEastAsia" w:hAnsi="Times New Roman" w:cs="Times New Roman"/>
                <w:sz w:val="20"/>
                <w:szCs w:val="20"/>
              </w:rPr>
              <w:t>0,1032</w:t>
            </w:r>
          </w:p>
        </w:tc>
      </w:tr>
    </w:tbl>
    <w:p w:rsidR="006470BA" w:rsidRPr="006273C4" w:rsidRDefault="006470BA" w:rsidP="006470BA">
      <w:pPr>
        <w:spacing w:line="360" w:lineRule="auto"/>
        <w:rPr>
          <w:rFonts w:ascii="Times New Roman" w:hAnsi="Times New Roman" w:cs="Times New Roman"/>
          <w:i/>
          <w:sz w:val="20"/>
          <w:szCs w:val="20"/>
        </w:rPr>
      </w:pPr>
      <w:r>
        <w:rPr>
          <w:rFonts w:ascii="Times New Roman" w:hAnsi="Times New Roman" w:cs="Times New Roman"/>
          <w:sz w:val="20"/>
          <w:szCs w:val="20"/>
        </w:rPr>
        <w:t>Источник – расчеты автора.</w:t>
      </w:r>
      <w:r w:rsidR="006273C4">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5</m:t>
            </m:r>
          </m:sub>
        </m:sSub>
      </m:oMath>
      <w:r w:rsidR="006273C4" w:rsidRPr="006273C4">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9</m:t>
            </m:r>
            <m:r>
              <w:rPr>
                <w:rFonts w:ascii="Cambria Math" w:hAnsi="Cambria Math" w:cs="Times New Roman"/>
                <w:sz w:val="20"/>
                <w:szCs w:val="20"/>
              </w:rPr>
              <m:t>5</m:t>
            </m:r>
          </m:sub>
        </m:sSub>
      </m:oMath>
      <w:r w:rsidR="006273C4" w:rsidRPr="006273C4">
        <w:rPr>
          <w:rFonts w:ascii="Times New Roman" w:eastAsiaTheme="minorEastAsia" w:hAnsi="Times New Roman" w:cs="Times New Roman"/>
          <w:sz w:val="20"/>
          <w:szCs w:val="20"/>
        </w:rPr>
        <w:t xml:space="preserve"> </w:t>
      </w:r>
      <w:r w:rsidR="006273C4">
        <w:rPr>
          <w:rFonts w:ascii="Times New Roman" w:eastAsiaTheme="minorEastAsia" w:hAnsi="Times New Roman" w:cs="Times New Roman"/>
          <w:sz w:val="20"/>
          <w:szCs w:val="20"/>
        </w:rPr>
        <w:t>–</w:t>
      </w:r>
      <w:r w:rsidR="006273C4" w:rsidRPr="006273C4">
        <w:rPr>
          <w:rFonts w:ascii="Times New Roman" w:eastAsiaTheme="minorEastAsia" w:hAnsi="Times New Roman" w:cs="Times New Roman"/>
          <w:sz w:val="20"/>
          <w:szCs w:val="20"/>
        </w:rPr>
        <w:t xml:space="preserve"> </w:t>
      </w:r>
      <w:r w:rsidR="006273C4">
        <w:rPr>
          <w:rFonts w:ascii="Times New Roman" w:eastAsiaTheme="minorEastAsia" w:hAnsi="Times New Roman" w:cs="Times New Roman"/>
          <w:sz w:val="20"/>
          <w:szCs w:val="20"/>
        </w:rPr>
        <w:t>5 и 95 квантили распределения доходности соответственно.</w:t>
      </w:r>
    </w:p>
    <w:p w:rsidR="00C65424" w:rsidRDefault="00AF73D5" w:rsidP="00553089">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Распределение доходности инструмента рассчитывается посредством симуляции в реальной мере, а справедливой стоимости – в риск-нейтральной. Причем доходность оценивается только по инвестиционной части.</w:t>
      </w:r>
    </w:p>
    <w:p w:rsidR="00AF73D5" w:rsidRDefault="00AF73D5" w:rsidP="00553089">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Нисходящая кривая ожидаемой доходности в зависимости от возраста (см. Рисунок 5) символизирует трансформацию ДСЖ из инвестиционного в страховой продукт. С взрослением агента уменьшается его инвестиционный горизонт, и большую роль играет страховая выплата. ДСЖ ожидаемо приносит меньший доход для старшего поколения.</w:t>
      </w:r>
    </w:p>
    <w:p w:rsidR="00AF73D5" w:rsidRDefault="00AF73D5" w:rsidP="00553089">
      <w:pPr>
        <w:spacing w:line="360" w:lineRule="auto"/>
        <w:jc w:val="both"/>
        <w:rPr>
          <w:rFonts w:ascii="Times New Roman" w:eastAsiaTheme="minorEastAsia" w:hAnsi="Times New Roman" w:cs="Times New Roman"/>
          <w:sz w:val="28"/>
          <w:szCs w:val="28"/>
        </w:rPr>
      </w:pPr>
      <w:r w:rsidRPr="00AF73D5">
        <w:rPr>
          <w:rFonts w:ascii="Times New Roman" w:eastAsiaTheme="minorEastAsia" w:hAnsi="Times New Roman" w:cs="Times New Roman"/>
          <w:sz w:val="28"/>
          <w:szCs w:val="28"/>
        </w:rPr>
        <w:lastRenderedPageBreak/>
        <w:drawing>
          <wp:inline distT="0" distB="0" distL="0" distR="0" wp14:anchorId="4BA7458A" wp14:editId="14E78151">
            <wp:extent cx="5940425" cy="505142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5051425"/>
                    </a:xfrm>
                    <a:prstGeom prst="rect">
                      <a:avLst/>
                    </a:prstGeom>
                  </pic:spPr>
                </pic:pic>
              </a:graphicData>
            </a:graphic>
          </wp:inline>
        </w:drawing>
      </w:r>
    </w:p>
    <w:p w:rsidR="00AF73D5" w:rsidRDefault="00AF73D5" w:rsidP="00AF73D5">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5</w:t>
      </w:r>
      <w:r>
        <w:rPr>
          <w:rFonts w:ascii="Times New Roman" w:hAnsi="Times New Roman" w:cs="Times New Roman"/>
          <w:sz w:val="28"/>
          <w:szCs w:val="28"/>
        </w:rPr>
        <w:t xml:space="preserve">. </w:t>
      </w:r>
      <w:r>
        <w:rPr>
          <w:rFonts w:ascii="Times New Roman" w:hAnsi="Times New Roman" w:cs="Times New Roman"/>
          <w:sz w:val="28"/>
          <w:szCs w:val="28"/>
        </w:rPr>
        <w:t>Зависимость ожидаемой доходности от возраста на конец февраля 2026 года</w:t>
      </w:r>
      <w:r>
        <w:rPr>
          <w:rFonts w:ascii="Times New Roman" w:hAnsi="Times New Roman" w:cs="Times New Roman"/>
          <w:sz w:val="28"/>
          <w:szCs w:val="28"/>
        </w:rPr>
        <w:t>.</w:t>
      </w:r>
    </w:p>
    <w:p w:rsidR="005C653A" w:rsidRDefault="005C653A" w:rsidP="00AF73D5">
      <w:pPr>
        <w:spacing w:line="360" w:lineRule="auto"/>
        <w:jc w:val="center"/>
        <w:rPr>
          <w:rFonts w:ascii="Times New Roman" w:hAnsi="Times New Roman" w:cs="Times New Roman"/>
          <w:sz w:val="28"/>
          <w:szCs w:val="28"/>
        </w:rPr>
      </w:pPr>
    </w:p>
    <w:p w:rsidR="005C653A" w:rsidRPr="000D4FA1" w:rsidRDefault="005C653A" w:rsidP="005C653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Обратная ситуация наблюдается в кривой волатильности в зависимости от возраста </w:t>
      </w:r>
      <w:r>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см. Рисунок 6</w:t>
      </w:r>
      <w:r>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Экспоненциальный рост интенсивности смертности вносит дополнительную дисперсию в доходность инструмента для старшего населения. Риски вложения в ДСЖ растут с возрастом.</w:t>
      </w:r>
    </w:p>
    <w:p w:rsidR="00AF73D5" w:rsidRDefault="00AF73D5" w:rsidP="00553089">
      <w:pPr>
        <w:spacing w:line="360" w:lineRule="auto"/>
        <w:jc w:val="both"/>
        <w:rPr>
          <w:rFonts w:ascii="Times New Roman" w:eastAsiaTheme="minorEastAsia" w:hAnsi="Times New Roman" w:cs="Times New Roman"/>
          <w:sz w:val="28"/>
          <w:szCs w:val="28"/>
        </w:rPr>
      </w:pPr>
      <w:r w:rsidRPr="00AF73D5">
        <w:rPr>
          <w:rFonts w:ascii="Times New Roman" w:eastAsiaTheme="minorEastAsia" w:hAnsi="Times New Roman" w:cs="Times New Roman"/>
          <w:sz w:val="28"/>
          <w:szCs w:val="28"/>
        </w:rPr>
        <w:lastRenderedPageBreak/>
        <w:drawing>
          <wp:inline distT="0" distB="0" distL="0" distR="0" wp14:anchorId="18DA7C46" wp14:editId="78F49D91">
            <wp:extent cx="5940425" cy="509333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093335"/>
                    </a:xfrm>
                    <a:prstGeom prst="rect">
                      <a:avLst/>
                    </a:prstGeom>
                  </pic:spPr>
                </pic:pic>
              </a:graphicData>
            </a:graphic>
          </wp:inline>
        </w:drawing>
      </w:r>
    </w:p>
    <w:p w:rsidR="00AF73D5" w:rsidRDefault="00AF73D5" w:rsidP="00AF73D5">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6</w:t>
      </w:r>
      <w:r>
        <w:rPr>
          <w:rFonts w:ascii="Times New Roman" w:hAnsi="Times New Roman" w:cs="Times New Roman"/>
          <w:sz w:val="28"/>
          <w:szCs w:val="28"/>
        </w:rPr>
        <w:t xml:space="preserve">. Зависимость </w:t>
      </w:r>
      <w:r w:rsidRPr="00AF73D5">
        <w:rPr>
          <w:rFonts w:ascii="Times New Roman" w:hAnsi="Times New Roman" w:cs="Times New Roman"/>
          <w:sz w:val="28"/>
          <w:szCs w:val="28"/>
        </w:rPr>
        <w:t>волатильности</w:t>
      </w:r>
      <w:r>
        <w:rPr>
          <w:rFonts w:ascii="Times New Roman" w:hAnsi="Times New Roman" w:cs="Times New Roman"/>
          <w:sz w:val="28"/>
          <w:szCs w:val="28"/>
        </w:rPr>
        <w:t xml:space="preserve"> доходности от возраста на конец февраля 2026 года.</w:t>
      </w:r>
    </w:p>
    <w:p w:rsidR="005C653A" w:rsidRDefault="005C653A" w:rsidP="005C653A">
      <w:pPr>
        <w:spacing w:line="360" w:lineRule="auto"/>
        <w:jc w:val="both"/>
        <w:rPr>
          <w:rFonts w:ascii="Times New Roman" w:hAnsi="Times New Roman" w:cs="Times New Roman"/>
          <w:sz w:val="28"/>
          <w:szCs w:val="28"/>
        </w:rPr>
      </w:pPr>
    </w:p>
    <w:p w:rsidR="005C653A" w:rsidRPr="00D144ED" w:rsidRDefault="005C653A" w:rsidP="005C653A">
      <w:pPr>
        <w:spacing w:line="360" w:lineRule="auto"/>
        <w:jc w:val="both"/>
        <w:rPr>
          <w:rFonts w:ascii="Times New Roman" w:hAnsi="Times New Roman" w:cs="Times New Roman"/>
          <w:sz w:val="28"/>
          <w:szCs w:val="28"/>
        </w:rPr>
      </w:pPr>
      <w:r>
        <w:rPr>
          <w:rFonts w:ascii="Times New Roman" w:hAnsi="Times New Roman" w:cs="Times New Roman"/>
          <w:sz w:val="28"/>
          <w:szCs w:val="28"/>
        </w:rPr>
        <w:t>Левый хвост распределения доходности сдвигается еще левее по мере взросления агента</w:t>
      </w:r>
      <w:r w:rsidR="00D144ED">
        <w:rPr>
          <w:rFonts w:ascii="Times New Roman" w:hAnsi="Times New Roman" w:cs="Times New Roman"/>
          <w:sz w:val="28"/>
          <w:szCs w:val="28"/>
        </w:rPr>
        <w:t xml:space="preserve"> </w:t>
      </w:r>
      <w:r w:rsidR="00D144ED">
        <w:rPr>
          <w:rFonts w:ascii="Times New Roman" w:eastAsiaTheme="minorEastAsia" w:hAnsi="Times New Roman" w:cs="Times New Roman"/>
          <w:sz w:val="28"/>
          <w:szCs w:val="28"/>
        </w:rPr>
        <w:t>(</w:t>
      </w:r>
      <w:r w:rsidR="00D144ED">
        <w:rPr>
          <w:rFonts w:ascii="Times New Roman" w:eastAsiaTheme="minorEastAsia" w:hAnsi="Times New Roman" w:cs="Times New Roman"/>
          <w:sz w:val="28"/>
          <w:szCs w:val="28"/>
        </w:rPr>
        <w:t>см. Рисунок 7</w:t>
      </w:r>
      <w:r w:rsidR="00D144ED">
        <w:rPr>
          <w:rFonts w:ascii="Times New Roman" w:eastAsiaTheme="minorEastAsia" w:hAnsi="Times New Roman" w:cs="Times New Roman"/>
          <w:sz w:val="28"/>
          <w:szCs w:val="28"/>
        </w:rPr>
        <w:t>)</w:t>
      </w:r>
      <w:r>
        <w:rPr>
          <w:rFonts w:ascii="Times New Roman" w:hAnsi="Times New Roman" w:cs="Times New Roman"/>
          <w:sz w:val="28"/>
          <w:szCs w:val="28"/>
        </w:rPr>
        <w:t>. Следовательно, ДСЖ хуже защищает</w:t>
      </w:r>
      <w:r w:rsidR="00D144ED">
        <w:rPr>
          <w:rFonts w:ascii="Times New Roman" w:hAnsi="Times New Roman" w:cs="Times New Roman"/>
          <w:sz w:val="28"/>
          <w:szCs w:val="28"/>
        </w:rPr>
        <w:t xml:space="preserve"> старшее поколение от</w:t>
      </w:r>
      <w:r>
        <w:rPr>
          <w:rFonts w:ascii="Times New Roman" w:hAnsi="Times New Roman" w:cs="Times New Roman"/>
          <w:sz w:val="28"/>
          <w:szCs w:val="28"/>
        </w:rPr>
        <w:t xml:space="preserve"> риск</w:t>
      </w:r>
      <w:r w:rsidR="00D144ED">
        <w:rPr>
          <w:rFonts w:ascii="Times New Roman" w:hAnsi="Times New Roman" w:cs="Times New Roman"/>
          <w:sz w:val="28"/>
          <w:szCs w:val="28"/>
        </w:rPr>
        <w:t>а</w:t>
      </w:r>
      <w:r>
        <w:rPr>
          <w:rFonts w:ascii="Times New Roman" w:hAnsi="Times New Roman" w:cs="Times New Roman"/>
          <w:sz w:val="28"/>
          <w:szCs w:val="28"/>
        </w:rPr>
        <w:t xml:space="preserve"> падения инвестиций </w:t>
      </w:r>
      <w:r w:rsidR="00D144ED">
        <w:rPr>
          <w:rFonts w:ascii="Times New Roman" w:hAnsi="Times New Roman" w:cs="Times New Roman"/>
          <w:sz w:val="28"/>
          <w:szCs w:val="28"/>
        </w:rPr>
        <w:t>в фонды посредством страховой выплаты. Иными словами, не возникает эффект хеджирования риска, за счет роста интенсивности смертности (</w:t>
      </w:r>
      <w:r w:rsidR="00D144ED">
        <w:rPr>
          <w:rFonts w:ascii="Times New Roman" w:hAnsi="Times New Roman" w:cs="Times New Roman"/>
          <w:sz w:val="28"/>
          <w:szCs w:val="28"/>
          <w:lang w:val="en-US"/>
        </w:rPr>
        <w:t>morality</w:t>
      </w:r>
      <w:r w:rsidR="00D144ED" w:rsidRPr="00D144ED">
        <w:rPr>
          <w:rFonts w:ascii="Times New Roman" w:hAnsi="Times New Roman" w:cs="Times New Roman"/>
          <w:sz w:val="28"/>
          <w:szCs w:val="28"/>
        </w:rPr>
        <w:t xml:space="preserve"> </w:t>
      </w:r>
      <w:r w:rsidR="00D144ED">
        <w:rPr>
          <w:rFonts w:ascii="Times New Roman" w:hAnsi="Times New Roman" w:cs="Times New Roman"/>
          <w:sz w:val="28"/>
          <w:szCs w:val="28"/>
          <w:lang w:val="en-US"/>
        </w:rPr>
        <w:t>hedge</w:t>
      </w:r>
      <w:r w:rsidR="00D144ED">
        <w:rPr>
          <w:rFonts w:ascii="Times New Roman" w:hAnsi="Times New Roman" w:cs="Times New Roman"/>
          <w:sz w:val="28"/>
          <w:szCs w:val="28"/>
        </w:rPr>
        <w:t>)</w:t>
      </w:r>
      <w:r w:rsidR="00D144ED" w:rsidRPr="00D144ED">
        <w:rPr>
          <w:rFonts w:ascii="Times New Roman" w:hAnsi="Times New Roman" w:cs="Times New Roman"/>
          <w:sz w:val="28"/>
          <w:szCs w:val="28"/>
        </w:rPr>
        <w:t>.</w:t>
      </w:r>
      <w:r w:rsidR="00D144ED">
        <w:rPr>
          <w:rFonts w:ascii="Times New Roman" w:hAnsi="Times New Roman" w:cs="Times New Roman"/>
          <w:sz w:val="28"/>
          <w:szCs w:val="28"/>
        </w:rPr>
        <w:t xml:space="preserve"> К тому же, медианная доходность практически всегда выше средней, что говорит левосторонней асимметрии доходности в целом.</w:t>
      </w:r>
    </w:p>
    <w:p w:rsidR="00AF73D5" w:rsidRDefault="005C653A" w:rsidP="00553089">
      <w:pPr>
        <w:spacing w:line="360" w:lineRule="auto"/>
        <w:jc w:val="both"/>
        <w:rPr>
          <w:rFonts w:ascii="Times New Roman" w:eastAsiaTheme="minorEastAsia" w:hAnsi="Times New Roman" w:cs="Times New Roman"/>
          <w:sz w:val="28"/>
          <w:szCs w:val="28"/>
        </w:rPr>
      </w:pPr>
      <w:r w:rsidRPr="005C653A">
        <w:rPr>
          <w:rFonts w:ascii="Times New Roman" w:eastAsiaTheme="minorEastAsia" w:hAnsi="Times New Roman" w:cs="Times New Roman"/>
          <w:sz w:val="28"/>
          <w:szCs w:val="28"/>
        </w:rPr>
        <w:lastRenderedPageBreak/>
        <w:drawing>
          <wp:inline distT="0" distB="0" distL="0" distR="0" wp14:anchorId="640A763C" wp14:editId="4965A21F">
            <wp:extent cx="5940425" cy="503745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037455"/>
                    </a:xfrm>
                    <a:prstGeom prst="rect">
                      <a:avLst/>
                    </a:prstGeom>
                  </pic:spPr>
                </pic:pic>
              </a:graphicData>
            </a:graphic>
          </wp:inline>
        </w:drawing>
      </w:r>
    </w:p>
    <w:p w:rsidR="005C653A" w:rsidRDefault="005C653A" w:rsidP="005C653A">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7</w:t>
      </w:r>
      <w:r>
        <w:rPr>
          <w:rFonts w:ascii="Times New Roman" w:hAnsi="Times New Roman" w:cs="Times New Roman"/>
          <w:sz w:val="28"/>
          <w:szCs w:val="28"/>
        </w:rPr>
        <w:t xml:space="preserve">. Зависимость </w:t>
      </w:r>
      <w:r>
        <w:rPr>
          <w:rFonts w:ascii="Times New Roman" w:hAnsi="Times New Roman" w:cs="Times New Roman"/>
          <w:sz w:val="28"/>
          <w:szCs w:val="28"/>
        </w:rPr>
        <w:t>5% квантиля</w:t>
      </w:r>
      <w:r>
        <w:rPr>
          <w:rFonts w:ascii="Times New Roman" w:hAnsi="Times New Roman" w:cs="Times New Roman"/>
          <w:sz w:val="28"/>
          <w:szCs w:val="28"/>
        </w:rPr>
        <w:t xml:space="preserve"> доходности от возраста на конец февраля 2026 года.</w:t>
      </w:r>
    </w:p>
    <w:p w:rsidR="00D144ED" w:rsidRPr="000D4FA1" w:rsidRDefault="00D144ED" w:rsidP="005C653A">
      <w:pPr>
        <w:spacing w:line="360" w:lineRule="auto"/>
        <w:jc w:val="center"/>
        <w:rPr>
          <w:rFonts w:ascii="Times New Roman" w:hAnsi="Times New Roman" w:cs="Times New Roman"/>
          <w:sz w:val="28"/>
          <w:szCs w:val="28"/>
        </w:rPr>
      </w:pPr>
    </w:p>
    <w:p w:rsidR="005C653A" w:rsidRDefault="00D144ED" w:rsidP="00553089">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На всех графиках заметна градация уровней в зависимости от срочности договора. Наилучшим с точки зрения ожидаемое доходности, риска и защиты от резких падений фондов оказался инструмент с максимальным сроком вложения из рассмотренных (20 лет, зеленая кривая). Этот факт характеризует ДСЖ как привлекательный инструмент с точки зрения долгосрочных вложений.</w:t>
      </w:r>
    </w:p>
    <w:p w:rsidR="006273C4" w:rsidRDefault="006273C4" w:rsidP="00553089">
      <w:pPr>
        <w:spacing w:line="360" w:lineRule="auto"/>
        <w:jc w:val="both"/>
        <w:rPr>
          <w:rFonts w:ascii="Times New Roman" w:eastAsiaTheme="minorEastAsia" w:hAnsi="Times New Roman" w:cs="Times New Roman"/>
          <w:sz w:val="28"/>
          <w:szCs w:val="28"/>
        </w:rPr>
      </w:pPr>
    </w:p>
    <w:p w:rsidR="006273C4" w:rsidRDefault="006273C4" w:rsidP="00553089">
      <w:pPr>
        <w:spacing w:line="360" w:lineRule="auto"/>
        <w:jc w:val="both"/>
        <w:rPr>
          <w:rFonts w:ascii="Times New Roman" w:eastAsiaTheme="minorEastAsia" w:hAnsi="Times New Roman" w:cs="Times New Roman"/>
          <w:sz w:val="28"/>
          <w:szCs w:val="28"/>
        </w:rPr>
      </w:pPr>
    </w:p>
    <w:p w:rsidR="006273C4" w:rsidRPr="006273C4" w:rsidRDefault="006273C4" w:rsidP="00553089">
      <w:pPr>
        <w:spacing w:line="360" w:lineRule="auto"/>
        <w:jc w:val="both"/>
        <w:rPr>
          <w:rFonts w:ascii="Times New Roman" w:eastAsiaTheme="minorEastAsia" w:hAnsi="Times New Roman" w:cs="Times New Roman"/>
          <w:b/>
          <w:sz w:val="28"/>
          <w:szCs w:val="28"/>
        </w:rPr>
      </w:pPr>
      <w:r w:rsidRPr="006273C4">
        <w:rPr>
          <w:rFonts w:ascii="Times New Roman" w:eastAsiaTheme="minorEastAsia" w:hAnsi="Times New Roman" w:cs="Times New Roman"/>
          <w:b/>
          <w:sz w:val="28"/>
          <w:szCs w:val="28"/>
        </w:rPr>
        <w:lastRenderedPageBreak/>
        <w:t>Заключение</w:t>
      </w:r>
    </w:p>
    <w:p w:rsidR="006273C4" w:rsidRPr="006273C4" w:rsidRDefault="006273C4" w:rsidP="006273C4">
      <w:pPr>
        <w:spacing w:line="360" w:lineRule="auto"/>
        <w:jc w:val="both"/>
        <w:rPr>
          <w:rFonts w:ascii="Times New Roman" w:eastAsiaTheme="minorEastAsia" w:hAnsi="Times New Roman" w:cs="Times New Roman"/>
          <w:sz w:val="28"/>
          <w:szCs w:val="28"/>
        </w:rPr>
      </w:pPr>
      <w:r w:rsidRPr="006273C4">
        <w:rPr>
          <w:rFonts w:ascii="Times New Roman" w:eastAsiaTheme="minorEastAsia" w:hAnsi="Times New Roman" w:cs="Times New Roman"/>
          <w:sz w:val="28"/>
          <w:szCs w:val="28"/>
        </w:rPr>
        <w:t>Проведенное комплексное исследование долевого страхования жизни (ДСЖ) подтверждает его уникальную роль как гибридного финансового инструмента, способного интегрировать страховую защиту с потенциалом инвестиционного дохода. Анализ нормативной базы, рыночных позиций, зарубежного опыта и математического моделирования позволил сформировать целостное представление о текущем состоянии, внутренних механизмах и перспективах ра</w:t>
      </w:r>
      <w:r>
        <w:rPr>
          <w:rFonts w:ascii="Times New Roman" w:eastAsiaTheme="minorEastAsia" w:hAnsi="Times New Roman" w:cs="Times New Roman"/>
          <w:sz w:val="28"/>
          <w:szCs w:val="28"/>
        </w:rPr>
        <w:t>звития ДСЖ на российском рынке.</w:t>
      </w:r>
    </w:p>
    <w:p w:rsidR="006273C4" w:rsidRPr="006273C4" w:rsidRDefault="006273C4" w:rsidP="006273C4">
      <w:pPr>
        <w:spacing w:line="360" w:lineRule="auto"/>
        <w:jc w:val="both"/>
        <w:rPr>
          <w:rFonts w:ascii="Times New Roman" w:eastAsiaTheme="minorEastAsia" w:hAnsi="Times New Roman" w:cs="Times New Roman"/>
          <w:sz w:val="28"/>
          <w:szCs w:val="28"/>
        </w:rPr>
      </w:pPr>
      <w:r w:rsidRPr="006273C4">
        <w:rPr>
          <w:rFonts w:ascii="Times New Roman" w:eastAsiaTheme="minorEastAsia" w:hAnsi="Times New Roman" w:cs="Times New Roman"/>
          <w:sz w:val="28"/>
          <w:szCs w:val="28"/>
        </w:rPr>
        <w:t xml:space="preserve">В рамках анализа нормативно-правовой базы было установлено, что российское законодательство создает прочный фундамент для функционирования ДСЖ. Ключевыми выводами здесь стали: во-первых, наличие двойного механизма налогового стимулирования (социальный и инвестиционный вычеты), который делает инструмент финансово привлекательным для долгосрочного планирования; во-вторых, высокий уровень юридической защиты активов. Законодательное закрепление неприкосновенности страховых резервов от взысканий кредиторами (за исключением узкого круга социально значимых обязательств) выгодно отличает ДСЖ от стандартных инвестиционных продуктов, позиционируя его как надежный </w:t>
      </w:r>
      <w:r>
        <w:rPr>
          <w:rFonts w:ascii="Times New Roman" w:eastAsiaTheme="minorEastAsia" w:hAnsi="Times New Roman" w:cs="Times New Roman"/>
          <w:sz w:val="28"/>
          <w:szCs w:val="28"/>
        </w:rPr>
        <w:t>инструмент сохранения капитала.</w:t>
      </w:r>
    </w:p>
    <w:p w:rsidR="006273C4" w:rsidRPr="006273C4" w:rsidRDefault="006273C4" w:rsidP="006273C4">
      <w:pPr>
        <w:spacing w:line="360" w:lineRule="auto"/>
        <w:jc w:val="both"/>
        <w:rPr>
          <w:rFonts w:ascii="Times New Roman" w:eastAsiaTheme="minorEastAsia" w:hAnsi="Times New Roman" w:cs="Times New Roman"/>
          <w:sz w:val="28"/>
          <w:szCs w:val="28"/>
        </w:rPr>
      </w:pPr>
      <w:r w:rsidRPr="006273C4">
        <w:rPr>
          <w:rFonts w:ascii="Times New Roman" w:eastAsiaTheme="minorEastAsia" w:hAnsi="Times New Roman" w:cs="Times New Roman"/>
          <w:sz w:val="28"/>
          <w:szCs w:val="28"/>
        </w:rPr>
        <w:t xml:space="preserve">Сравнительный анализ ДСЖ с альтернативными инструментами (ИИС, НПФ, ПДС) выявил его конкурентные преимущества и недостатки. Главным преимуществом выступает именно сочетание страховой защиты с инвестициями и правовой иммунитет. Однако по гибкости управления средствами и потенциальной доходности инвестиционной части ДСЖ уступает, например, ИИС, что компенсируется наличием гарантированных страховых выплат и защитой от кредиторов. Изучение зарубежных рынков </w:t>
      </w:r>
      <w:proofErr w:type="spellStart"/>
      <w:r w:rsidRPr="006273C4">
        <w:rPr>
          <w:rFonts w:ascii="Times New Roman" w:eastAsiaTheme="minorEastAsia" w:hAnsi="Times New Roman" w:cs="Times New Roman"/>
          <w:sz w:val="28"/>
          <w:szCs w:val="28"/>
        </w:rPr>
        <w:t>unit-linked</w:t>
      </w:r>
      <w:proofErr w:type="spellEnd"/>
      <w:r w:rsidRPr="006273C4">
        <w:rPr>
          <w:rFonts w:ascii="Times New Roman" w:eastAsiaTheme="minorEastAsia" w:hAnsi="Times New Roman" w:cs="Times New Roman"/>
          <w:sz w:val="28"/>
          <w:szCs w:val="28"/>
        </w:rPr>
        <w:t xml:space="preserve"> (аналога ДСЖ) продемонстрировало общемировой тренд роста популярности таких продуктов, особенно в периоды низких ставок и макроэкономической нестабильности. Успешный опыт Европы и Азии </w:t>
      </w:r>
      <w:r w:rsidRPr="006273C4">
        <w:rPr>
          <w:rFonts w:ascii="Times New Roman" w:eastAsiaTheme="minorEastAsia" w:hAnsi="Times New Roman" w:cs="Times New Roman"/>
          <w:sz w:val="28"/>
          <w:szCs w:val="28"/>
        </w:rPr>
        <w:lastRenderedPageBreak/>
        <w:t xml:space="preserve">подтверждает, что ДСЖ может занимать значительную долю рынка (до 40-60%) при условии прозрачности и адаптации к потребностям клиентов, что служит ориентиром </w:t>
      </w:r>
      <w:r>
        <w:rPr>
          <w:rFonts w:ascii="Times New Roman" w:eastAsiaTheme="minorEastAsia" w:hAnsi="Times New Roman" w:cs="Times New Roman"/>
          <w:sz w:val="28"/>
          <w:szCs w:val="28"/>
        </w:rPr>
        <w:t>для развития российского рынка.</w:t>
      </w:r>
    </w:p>
    <w:p w:rsidR="006273C4" w:rsidRPr="006273C4" w:rsidRDefault="006273C4" w:rsidP="006273C4">
      <w:pPr>
        <w:spacing w:line="360" w:lineRule="auto"/>
        <w:jc w:val="both"/>
        <w:rPr>
          <w:rFonts w:ascii="Times New Roman" w:eastAsiaTheme="minorEastAsia" w:hAnsi="Times New Roman" w:cs="Times New Roman"/>
          <w:sz w:val="28"/>
          <w:szCs w:val="28"/>
        </w:rPr>
      </w:pPr>
      <w:r w:rsidRPr="006273C4">
        <w:rPr>
          <w:rFonts w:ascii="Times New Roman" w:eastAsiaTheme="minorEastAsia" w:hAnsi="Times New Roman" w:cs="Times New Roman"/>
          <w:sz w:val="28"/>
          <w:szCs w:val="28"/>
        </w:rPr>
        <w:t>Центральным элементом работы стало математическое моделирование справедливой стоимости ДСЖ. Предложенный подход, разделяющий риск-нейтральное ценообразование для инвестиционной составляющей и физическую меру для страховой, позволил корректно учесть двойственную природу инструмента. Модель локальной волатильности (</w:t>
      </w:r>
      <w:proofErr w:type="spellStart"/>
      <w:r w:rsidRPr="006273C4">
        <w:rPr>
          <w:rFonts w:ascii="Times New Roman" w:eastAsiaTheme="minorEastAsia" w:hAnsi="Times New Roman" w:cs="Times New Roman"/>
          <w:sz w:val="28"/>
          <w:szCs w:val="28"/>
        </w:rPr>
        <w:t>Local</w:t>
      </w:r>
      <w:proofErr w:type="spellEnd"/>
      <w:r w:rsidRPr="006273C4">
        <w:rPr>
          <w:rFonts w:ascii="Times New Roman" w:eastAsiaTheme="minorEastAsia" w:hAnsi="Times New Roman" w:cs="Times New Roman"/>
          <w:sz w:val="28"/>
          <w:szCs w:val="28"/>
        </w:rPr>
        <w:t xml:space="preserve"> </w:t>
      </w:r>
      <w:proofErr w:type="spellStart"/>
      <w:r w:rsidRPr="006273C4">
        <w:rPr>
          <w:rFonts w:ascii="Times New Roman" w:eastAsiaTheme="minorEastAsia" w:hAnsi="Times New Roman" w:cs="Times New Roman"/>
          <w:sz w:val="28"/>
          <w:szCs w:val="28"/>
        </w:rPr>
        <w:t>Vol</w:t>
      </w:r>
      <w:proofErr w:type="spellEnd"/>
      <w:r w:rsidRPr="006273C4">
        <w:rPr>
          <w:rFonts w:ascii="Times New Roman" w:eastAsiaTheme="minorEastAsia" w:hAnsi="Times New Roman" w:cs="Times New Roman"/>
          <w:sz w:val="28"/>
          <w:szCs w:val="28"/>
        </w:rPr>
        <w:t xml:space="preserve"> CEV) адекватно описала динамику российского фондового рынка, подтвердив наличие эффекта рычага. Ключевым результатом моделирования на реальных демографических и рыночных данных стала количественная оценка влияния возраста и </w:t>
      </w:r>
      <w:proofErr w:type="gramStart"/>
      <w:r w:rsidRPr="006273C4">
        <w:rPr>
          <w:rFonts w:ascii="Times New Roman" w:eastAsiaTheme="minorEastAsia" w:hAnsi="Times New Roman" w:cs="Times New Roman"/>
          <w:sz w:val="28"/>
          <w:szCs w:val="28"/>
        </w:rPr>
        <w:t>пола</w:t>
      </w:r>
      <w:proofErr w:type="gramEnd"/>
      <w:r w:rsidRPr="006273C4">
        <w:rPr>
          <w:rFonts w:ascii="Times New Roman" w:eastAsiaTheme="minorEastAsia" w:hAnsi="Times New Roman" w:cs="Times New Roman"/>
          <w:sz w:val="28"/>
          <w:szCs w:val="28"/>
        </w:rPr>
        <w:t xml:space="preserve"> застрахованного на доходность и риски инструмента. Полученные результаты наглядно демонстрируют трансформацию продукта по мере взросления клиента: ДСЖ теряет инвестиционную привлекательность (ожидаемая доходность снижается) и все больше проявляет свойства страховой защиты. При этом волатильность доходности и риск сильного падения (левый хвост распределения) для старших возрастов возрастают, что ставит под вопрос эффективность хеджирования инвестиционных рисков страховой составляющей для этой категории. Важнейшим практическим выводом моделирования является подтверждение высокой эффективности ДСЖ именн</w:t>
      </w:r>
      <w:r>
        <w:rPr>
          <w:rFonts w:ascii="Times New Roman" w:eastAsiaTheme="minorEastAsia" w:hAnsi="Times New Roman" w:cs="Times New Roman"/>
          <w:sz w:val="28"/>
          <w:szCs w:val="28"/>
        </w:rPr>
        <w:t xml:space="preserve">о как инструмента долгосрочного </w:t>
      </w:r>
      <w:r w:rsidRPr="006273C4">
        <w:rPr>
          <w:rFonts w:ascii="Times New Roman" w:eastAsiaTheme="minorEastAsia" w:hAnsi="Times New Roman" w:cs="Times New Roman"/>
          <w:sz w:val="28"/>
          <w:szCs w:val="28"/>
        </w:rPr>
        <w:t>вложения, который сглаживает риски и обеспечивает лучшие п</w:t>
      </w:r>
      <w:r>
        <w:rPr>
          <w:rFonts w:ascii="Times New Roman" w:eastAsiaTheme="minorEastAsia" w:hAnsi="Times New Roman" w:cs="Times New Roman"/>
          <w:sz w:val="28"/>
          <w:szCs w:val="28"/>
        </w:rPr>
        <w:t>оказатели ожидаемой доходности.</w:t>
      </w:r>
    </w:p>
    <w:p w:rsidR="006273C4" w:rsidRDefault="006273C4" w:rsidP="006273C4">
      <w:pPr>
        <w:spacing w:line="360" w:lineRule="auto"/>
        <w:jc w:val="both"/>
        <w:rPr>
          <w:rFonts w:ascii="Times New Roman" w:eastAsiaTheme="minorEastAsia" w:hAnsi="Times New Roman" w:cs="Times New Roman"/>
          <w:sz w:val="28"/>
          <w:szCs w:val="28"/>
        </w:rPr>
      </w:pPr>
      <w:r w:rsidRPr="006273C4">
        <w:rPr>
          <w:rFonts w:ascii="Times New Roman" w:eastAsiaTheme="minorEastAsia" w:hAnsi="Times New Roman" w:cs="Times New Roman"/>
          <w:sz w:val="28"/>
          <w:szCs w:val="28"/>
        </w:rPr>
        <w:t xml:space="preserve">Таким образом, цель исследования достигнута: ДСЖ охарактеризован как многофункциональный и перспективный инструмент, адаптированный к российским условиям. Однако для его массового распространения необходимо преодоление исторического недоверия потребителей через повышение прозрачности продуктов. Рекомендации, вытекающие из работы, лежат в плоскости дальнейшей стандартизации условий договоров (в частности, мультипликаторов страховых выплат) и развития систем </w:t>
      </w:r>
      <w:r w:rsidRPr="006273C4">
        <w:rPr>
          <w:rFonts w:ascii="Times New Roman" w:eastAsiaTheme="minorEastAsia" w:hAnsi="Times New Roman" w:cs="Times New Roman"/>
          <w:sz w:val="28"/>
          <w:szCs w:val="28"/>
        </w:rPr>
        <w:lastRenderedPageBreak/>
        <w:t>информирования клиентов о балансе страховых и инвестиционных рисков в зависимости от их возраста и горизонта планирования. Только так ДСЖ сможет реализовать свой потенциал как важного элемента системы долгосрочных сбережений граждан.</w:t>
      </w:r>
    </w:p>
    <w:p w:rsidR="006273C4" w:rsidRDefault="006273C4" w:rsidP="006273C4">
      <w:pPr>
        <w:spacing w:line="360" w:lineRule="auto"/>
        <w:jc w:val="both"/>
        <w:rPr>
          <w:rFonts w:ascii="Times New Roman" w:eastAsiaTheme="minorEastAsia" w:hAnsi="Times New Roman" w:cs="Times New Roman"/>
          <w:sz w:val="28"/>
          <w:szCs w:val="28"/>
        </w:rPr>
      </w:pPr>
    </w:p>
    <w:p w:rsidR="006273C4" w:rsidRDefault="006273C4" w:rsidP="006273C4">
      <w:pPr>
        <w:spacing w:line="360" w:lineRule="auto"/>
        <w:jc w:val="both"/>
        <w:rPr>
          <w:rFonts w:ascii="Times New Roman" w:eastAsiaTheme="minorEastAsia" w:hAnsi="Times New Roman" w:cs="Times New Roman"/>
          <w:b/>
          <w:sz w:val="28"/>
          <w:szCs w:val="28"/>
          <w:lang w:val="en-US"/>
        </w:rPr>
      </w:pPr>
      <w:proofErr w:type="spellStart"/>
      <w:r w:rsidRPr="006273C4">
        <w:rPr>
          <w:rFonts w:ascii="Times New Roman" w:eastAsiaTheme="minorEastAsia" w:hAnsi="Times New Roman" w:cs="Times New Roman"/>
          <w:b/>
          <w:sz w:val="28"/>
          <w:szCs w:val="28"/>
          <w:lang w:val="en-US"/>
        </w:rPr>
        <w:t>Список</w:t>
      </w:r>
      <w:proofErr w:type="spellEnd"/>
      <w:r w:rsidRPr="006273C4">
        <w:rPr>
          <w:rFonts w:ascii="Times New Roman" w:eastAsiaTheme="minorEastAsia" w:hAnsi="Times New Roman" w:cs="Times New Roman"/>
          <w:b/>
          <w:sz w:val="28"/>
          <w:szCs w:val="28"/>
          <w:lang w:val="en-US"/>
        </w:rPr>
        <w:t xml:space="preserve"> </w:t>
      </w:r>
      <w:proofErr w:type="spellStart"/>
      <w:r w:rsidRPr="006273C4">
        <w:rPr>
          <w:rFonts w:ascii="Times New Roman" w:eastAsiaTheme="minorEastAsia" w:hAnsi="Times New Roman" w:cs="Times New Roman"/>
          <w:b/>
          <w:sz w:val="28"/>
          <w:szCs w:val="28"/>
          <w:lang w:val="en-US"/>
        </w:rPr>
        <w:t>литературы</w:t>
      </w:r>
      <w:proofErr w:type="spellEnd"/>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w:t>
      </w:r>
      <w:r>
        <w:rPr>
          <w:rFonts w:ascii="Times New Roman" w:eastAsiaTheme="minorEastAsia" w:hAnsi="Times New Roman" w:cs="Times New Roman"/>
          <w:sz w:val="28"/>
          <w:szCs w:val="28"/>
        </w:rPr>
        <w:tab/>
      </w:r>
      <w:r w:rsidRPr="00C740E4">
        <w:rPr>
          <w:rFonts w:ascii="Times New Roman" w:eastAsiaTheme="minorEastAsia" w:hAnsi="Times New Roman" w:cs="Times New Roman"/>
          <w:sz w:val="28"/>
          <w:szCs w:val="28"/>
        </w:rPr>
        <w:t>Борисов О.И. Эффективность налогового стимулирования долгосрочных сбережений физических лиц // Финансовый журнал. — 2026. — №1. — С. 113–130.</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ab/>
      </w:r>
      <w:proofErr w:type="spellStart"/>
      <w:r w:rsidRPr="00C740E4">
        <w:rPr>
          <w:rFonts w:ascii="Times New Roman" w:eastAsiaTheme="minorEastAsia" w:hAnsi="Times New Roman" w:cs="Times New Roman"/>
          <w:sz w:val="28"/>
          <w:szCs w:val="28"/>
        </w:rPr>
        <w:t>Вякина</w:t>
      </w:r>
      <w:proofErr w:type="spellEnd"/>
      <w:r w:rsidRPr="00C740E4">
        <w:rPr>
          <w:rFonts w:ascii="Times New Roman" w:eastAsiaTheme="minorEastAsia" w:hAnsi="Times New Roman" w:cs="Times New Roman"/>
          <w:sz w:val="28"/>
          <w:szCs w:val="28"/>
        </w:rPr>
        <w:t xml:space="preserve"> И.В., Плотицына Л.А., Скворцова Г.Г. Инвестиционные налоговые стимулы как инструменты развития территорий // Международный бухгалтерский учет. — 2022. — №8. — С. 947–966.</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3.</w:t>
      </w:r>
      <w:r>
        <w:rPr>
          <w:rFonts w:ascii="Times New Roman" w:eastAsiaTheme="minorEastAsia" w:hAnsi="Times New Roman" w:cs="Times New Roman"/>
          <w:sz w:val="28"/>
          <w:szCs w:val="28"/>
        </w:rPr>
        <w:tab/>
      </w:r>
      <w:r w:rsidRPr="00C740E4">
        <w:rPr>
          <w:rFonts w:ascii="Times New Roman" w:eastAsiaTheme="minorEastAsia" w:hAnsi="Times New Roman" w:cs="Times New Roman"/>
          <w:sz w:val="28"/>
          <w:szCs w:val="28"/>
        </w:rPr>
        <w:t>Гончаренко Т.В., Подгорная К.Н. Индивидуальный инвестиционный счет: тенденции развития // Научный результат. Экономические исследования. — 2020. — №4. — С. 63–70.</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4.</w:t>
      </w:r>
      <w:r>
        <w:rPr>
          <w:rFonts w:ascii="Times New Roman" w:eastAsiaTheme="minorEastAsia" w:hAnsi="Times New Roman" w:cs="Times New Roman"/>
          <w:sz w:val="28"/>
          <w:szCs w:val="28"/>
        </w:rPr>
        <w:tab/>
      </w:r>
      <w:r w:rsidRPr="00C740E4">
        <w:rPr>
          <w:rFonts w:ascii="Times New Roman" w:eastAsiaTheme="minorEastAsia" w:hAnsi="Times New Roman" w:cs="Times New Roman"/>
          <w:sz w:val="28"/>
          <w:szCs w:val="28"/>
        </w:rPr>
        <w:t xml:space="preserve">Денисов Л.Д. Разработка научной модели диверсификации инвестиционных портфелей для российских домохозяйств // </w:t>
      </w:r>
      <w:proofErr w:type="spellStart"/>
      <w:r w:rsidRPr="00C740E4">
        <w:rPr>
          <w:rFonts w:ascii="Times New Roman" w:eastAsiaTheme="minorEastAsia" w:hAnsi="Times New Roman" w:cs="Times New Roman"/>
          <w:sz w:val="28"/>
          <w:szCs w:val="28"/>
        </w:rPr>
        <w:t>Modern</w:t>
      </w:r>
      <w:proofErr w:type="spellEnd"/>
      <w:r w:rsidRPr="00C740E4">
        <w:rPr>
          <w:rFonts w:ascii="Times New Roman" w:eastAsiaTheme="minorEastAsia" w:hAnsi="Times New Roman" w:cs="Times New Roman"/>
          <w:sz w:val="28"/>
          <w:szCs w:val="28"/>
        </w:rPr>
        <w:t xml:space="preserve"> </w:t>
      </w:r>
      <w:proofErr w:type="spellStart"/>
      <w:r w:rsidRPr="00C740E4">
        <w:rPr>
          <w:rFonts w:ascii="Times New Roman" w:eastAsiaTheme="minorEastAsia" w:hAnsi="Times New Roman" w:cs="Times New Roman"/>
          <w:sz w:val="28"/>
          <w:szCs w:val="28"/>
        </w:rPr>
        <w:t>economy</w:t>
      </w:r>
      <w:proofErr w:type="spellEnd"/>
      <w:r w:rsidRPr="00C740E4">
        <w:rPr>
          <w:rFonts w:ascii="Times New Roman" w:eastAsiaTheme="minorEastAsia" w:hAnsi="Times New Roman" w:cs="Times New Roman"/>
          <w:sz w:val="28"/>
          <w:szCs w:val="28"/>
        </w:rPr>
        <w:t xml:space="preserve"> </w:t>
      </w:r>
      <w:proofErr w:type="spellStart"/>
      <w:r w:rsidRPr="00C740E4">
        <w:rPr>
          <w:rFonts w:ascii="Times New Roman" w:eastAsiaTheme="minorEastAsia" w:hAnsi="Times New Roman" w:cs="Times New Roman"/>
          <w:sz w:val="28"/>
          <w:szCs w:val="28"/>
        </w:rPr>
        <w:t>success</w:t>
      </w:r>
      <w:proofErr w:type="spellEnd"/>
      <w:r w:rsidRPr="00C740E4">
        <w:rPr>
          <w:rFonts w:ascii="Times New Roman" w:eastAsiaTheme="minorEastAsia" w:hAnsi="Times New Roman" w:cs="Times New Roman"/>
          <w:sz w:val="28"/>
          <w:szCs w:val="28"/>
        </w:rPr>
        <w:t>. — 2025. — №2. — С. 104–114.</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5.</w:t>
      </w:r>
      <w:r>
        <w:rPr>
          <w:rFonts w:ascii="Times New Roman" w:eastAsiaTheme="minorEastAsia" w:hAnsi="Times New Roman" w:cs="Times New Roman"/>
          <w:sz w:val="28"/>
          <w:szCs w:val="28"/>
        </w:rPr>
        <w:tab/>
      </w:r>
      <w:proofErr w:type="spellStart"/>
      <w:r w:rsidRPr="00C740E4">
        <w:rPr>
          <w:rFonts w:ascii="Times New Roman" w:eastAsiaTheme="minorEastAsia" w:hAnsi="Times New Roman" w:cs="Times New Roman"/>
          <w:sz w:val="28"/>
          <w:szCs w:val="28"/>
        </w:rPr>
        <w:t>Мосейко</w:t>
      </w:r>
      <w:proofErr w:type="spellEnd"/>
      <w:r w:rsidRPr="00C740E4">
        <w:rPr>
          <w:rFonts w:ascii="Times New Roman" w:eastAsiaTheme="minorEastAsia" w:hAnsi="Times New Roman" w:cs="Times New Roman"/>
          <w:sz w:val="28"/>
          <w:szCs w:val="28"/>
        </w:rPr>
        <w:t xml:space="preserve"> В.В. Международное регулирование пенсий в ЕАЭС: проблемы и перспективы развития // Евразийская интеграция: экономика, право, политика. — 2024. — №2. — С. 63–74.</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6.</w:t>
      </w:r>
      <w:r>
        <w:rPr>
          <w:rFonts w:ascii="Times New Roman" w:eastAsiaTheme="minorEastAsia" w:hAnsi="Times New Roman" w:cs="Times New Roman"/>
          <w:sz w:val="28"/>
          <w:szCs w:val="28"/>
        </w:rPr>
        <w:tab/>
      </w:r>
      <w:r w:rsidRPr="00C740E4">
        <w:rPr>
          <w:rFonts w:ascii="Times New Roman" w:eastAsiaTheme="minorEastAsia" w:hAnsi="Times New Roman" w:cs="Times New Roman"/>
          <w:sz w:val="28"/>
          <w:szCs w:val="28"/>
        </w:rPr>
        <w:t>Панкратов Д.В. Финансово-правовое регулирование деятельности негосударственных пенсионных фондов в Российской Федерации: монография. — Москва: Проспект, 2024. — 152 с.</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7.</w:t>
      </w:r>
      <w:r>
        <w:rPr>
          <w:rFonts w:ascii="Times New Roman" w:eastAsiaTheme="minorEastAsia" w:hAnsi="Times New Roman" w:cs="Times New Roman"/>
          <w:sz w:val="28"/>
          <w:szCs w:val="28"/>
        </w:rPr>
        <w:tab/>
      </w:r>
      <w:r w:rsidRPr="00C740E4">
        <w:rPr>
          <w:rFonts w:ascii="Times New Roman" w:eastAsiaTheme="minorEastAsia" w:hAnsi="Times New Roman" w:cs="Times New Roman"/>
          <w:sz w:val="28"/>
          <w:szCs w:val="28"/>
        </w:rPr>
        <w:t xml:space="preserve">Пугачев А.А. Оценка влияния социальных налоговых вычетов по НДФЛ на благосостояние и неравенство граждан в России // </w:t>
      </w:r>
      <w:proofErr w:type="spellStart"/>
      <w:r w:rsidRPr="00C740E4">
        <w:rPr>
          <w:rFonts w:ascii="Times New Roman" w:eastAsiaTheme="minorEastAsia" w:hAnsi="Times New Roman" w:cs="Times New Roman"/>
          <w:sz w:val="28"/>
          <w:szCs w:val="28"/>
        </w:rPr>
        <w:t>Journal</w:t>
      </w:r>
      <w:proofErr w:type="spellEnd"/>
      <w:r w:rsidRPr="00C740E4">
        <w:rPr>
          <w:rFonts w:ascii="Times New Roman" w:eastAsiaTheme="minorEastAsia" w:hAnsi="Times New Roman" w:cs="Times New Roman"/>
          <w:sz w:val="28"/>
          <w:szCs w:val="28"/>
        </w:rPr>
        <w:t xml:space="preserve"> </w:t>
      </w:r>
      <w:proofErr w:type="spellStart"/>
      <w:r w:rsidRPr="00C740E4">
        <w:rPr>
          <w:rFonts w:ascii="Times New Roman" w:eastAsiaTheme="minorEastAsia" w:hAnsi="Times New Roman" w:cs="Times New Roman"/>
          <w:sz w:val="28"/>
          <w:szCs w:val="28"/>
        </w:rPr>
        <w:t>of</w:t>
      </w:r>
      <w:proofErr w:type="spellEnd"/>
      <w:r w:rsidRPr="00C740E4">
        <w:rPr>
          <w:rFonts w:ascii="Times New Roman" w:eastAsiaTheme="minorEastAsia" w:hAnsi="Times New Roman" w:cs="Times New Roman"/>
          <w:sz w:val="28"/>
          <w:szCs w:val="28"/>
        </w:rPr>
        <w:t xml:space="preserve"> </w:t>
      </w:r>
      <w:proofErr w:type="spellStart"/>
      <w:r w:rsidRPr="00C740E4">
        <w:rPr>
          <w:rFonts w:ascii="Times New Roman" w:eastAsiaTheme="minorEastAsia" w:hAnsi="Times New Roman" w:cs="Times New Roman"/>
          <w:sz w:val="28"/>
          <w:szCs w:val="28"/>
        </w:rPr>
        <w:t>Applied</w:t>
      </w:r>
      <w:proofErr w:type="spellEnd"/>
      <w:r w:rsidRPr="00C740E4">
        <w:rPr>
          <w:rFonts w:ascii="Times New Roman" w:eastAsiaTheme="minorEastAsia" w:hAnsi="Times New Roman" w:cs="Times New Roman"/>
          <w:sz w:val="28"/>
          <w:szCs w:val="28"/>
        </w:rPr>
        <w:t xml:space="preserve"> </w:t>
      </w:r>
      <w:proofErr w:type="spellStart"/>
      <w:r w:rsidRPr="00C740E4">
        <w:rPr>
          <w:rFonts w:ascii="Times New Roman" w:eastAsiaTheme="minorEastAsia" w:hAnsi="Times New Roman" w:cs="Times New Roman"/>
          <w:sz w:val="28"/>
          <w:szCs w:val="28"/>
        </w:rPr>
        <w:t>Economic</w:t>
      </w:r>
      <w:proofErr w:type="spellEnd"/>
      <w:r w:rsidRPr="00C740E4">
        <w:rPr>
          <w:rFonts w:ascii="Times New Roman" w:eastAsiaTheme="minorEastAsia" w:hAnsi="Times New Roman" w:cs="Times New Roman"/>
          <w:sz w:val="28"/>
          <w:szCs w:val="28"/>
        </w:rPr>
        <w:t xml:space="preserve"> </w:t>
      </w:r>
      <w:proofErr w:type="spellStart"/>
      <w:r w:rsidRPr="00C740E4">
        <w:rPr>
          <w:rFonts w:ascii="Times New Roman" w:eastAsiaTheme="minorEastAsia" w:hAnsi="Times New Roman" w:cs="Times New Roman"/>
          <w:sz w:val="28"/>
          <w:szCs w:val="28"/>
        </w:rPr>
        <w:t>Research</w:t>
      </w:r>
      <w:proofErr w:type="spellEnd"/>
      <w:r w:rsidRPr="00C740E4">
        <w:rPr>
          <w:rFonts w:ascii="Times New Roman" w:eastAsiaTheme="minorEastAsia" w:hAnsi="Times New Roman" w:cs="Times New Roman"/>
          <w:sz w:val="28"/>
          <w:szCs w:val="28"/>
        </w:rPr>
        <w:t>. — 2023. — №4. — С. 789–813.</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8.</w:t>
      </w:r>
      <w:r>
        <w:rPr>
          <w:rFonts w:ascii="Times New Roman" w:eastAsiaTheme="minorEastAsia" w:hAnsi="Times New Roman" w:cs="Times New Roman"/>
          <w:sz w:val="28"/>
          <w:szCs w:val="28"/>
        </w:rPr>
        <w:tab/>
      </w:r>
      <w:r w:rsidRPr="00C740E4">
        <w:rPr>
          <w:rFonts w:ascii="Times New Roman" w:eastAsiaTheme="minorEastAsia" w:hAnsi="Times New Roman" w:cs="Times New Roman"/>
          <w:sz w:val="28"/>
          <w:szCs w:val="28"/>
        </w:rPr>
        <w:t>Седова Ю.В. Пенсионная система Российской Федерации и роль накопительной пенсии // Экономические науки. — 2015. — №8. — С. 39–43.</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9.</w:t>
      </w:r>
      <w:r>
        <w:rPr>
          <w:rFonts w:ascii="Times New Roman" w:eastAsiaTheme="minorEastAsia" w:hAnsi="Times New Roman" w:cs="Times New Roman"/>
          <w:sz w:val="28"/>
          <w:szCs w:val="28"/>
        </w:rPr>
        <w:tab/>
      </w:r>
      <w:proofErr w:type="spellStart"/>
      <w:r w:rsidRPr="00C740E4">
        <w:rPr>
          <w:rFonts w:ascii="Times New Roman" w:eastAsiaTheme="minorEastAsia" w:hAnsi="Times New Roman" w:cs="Times New Roman"/>
          <w:sz w:val="28"/>
          <w:szCs w:val="28"/>
        </w:rPr>
        <w:t>Хачатрян</w:t>
      </w:r>
      <w:proofErr w:type="spellEnd"/>
      <w:r w:rsidRPr="00C740E4">
        <w:rPr>
          <w:rFonts w:ascii="Times New Roman" w:eastAsiaTheme="minorEastAsia" w:hAnsi="Times New Roman" w:cs="Times New Roman"/>
          <w:sz w:val="28"/>
          <w:szCs w:val="28"/>
        </w:rPr>
        <w:t xml:space="preserve"> А.А., </w:t>
      </w:r>
      <w:proofErr w:type="spellStart"/>
      <w:r w:rsidRPr="00C740E4">
        <w:rPr>
          <w:rFonts w:ascii="Times New Roman" w:eastAsiaTheme="minorEastAsia" w:hAnsi="Times New Roman" w:cs="Times New Roman"/>
          <w:sz w:val="28"/>
          <w:szCs w:val="28"/>
        </w:rPr>
        <w:t>Мазий</w:t>
      </w:r>
      <w:proofErr w:type="spellEnd"/>
      <w:r w:rsidRPr="00C740E4">
        <w:rPr>
          <w:rFonts w:ascii="Times New Roman" w:eastAsiaTheme="minorEastAsia" w:hAnsi="Times New Roman" w:cs="Times New Roman"/>
          <w:sz w:val="28"/>
          <w:szCs w:val="28"/>
        </w:rPr>
        <w:t xml:space="preserve"> В.В. Индивидуальный инвестиционный счет: тенденции развития в России // Вестник евразийской науки. — 2019. — №2. — С. 1–8.</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10.</w:t>
      </w:r>
      <w:r>
        <w:rPr>
          <w:rFonts w:ascii="Times New Roman" w:eastAsiaTheme="minorEastAsia" w:hAnsi="Times New Roman" w:cs="Times New Roman"/>
          <w:sz w:val="28"/>
          <w:szCs w:val="28"/>
        </w:rPr>
        <w:tab/>
      </w:r>
      <w:proofErr w:type="spellStart"/>
      <w:r w:rsidRPr="00C740E4">
        <w:rPr>
          <w:rFonts w:ascii="Times New Roman" w:eastAsiaTheme="minorEastAsia" w:hAnsi="Times New Roman" w:cs="Times New Roman"/>
          <w:sz w:val="28"/>
          <w:szCs w:val="28"/>
        </w:rPr>
        <w:t>Чашков</w:t>
      </w:r>
      <w:proofErr w:type="spellEnd"/>
      <w:r w:rsidRPr="00C740E4">
        <w:rPr>
          <w:rFonts w:ascii="Times New Roman" w:eastAsiaTheme="minorEastAsia" w:hAnsi="Times New Roman" w:cs="Times New Roman"/>
          <w:sz w:val="28"/>
          <w:szCs w:val="28"/>
        </w:rPr>
        <w:t xml:space="preserve"> С.А. Правовые проблемы государственного регулирования в сфере инвестирования накопительной пенсии граждан РФ // Ученые заметки ТОГУ. — 2015. — №4. — С. 628–636.</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11.</w:t>
      </w:r>
      <w:r>
        <w:rPr>
          <w:rFonts w:ascii="Times New Roman" w:eastAsiaTheme="minorEastAsia" w:hAnsi="Times New Roman" w:cs="Times New Roman"/>
          <w:sz w:val="28"/>
          <w:szCs w:val="28"/>
        </w:rPr>
        <w:tab/>
      </w:r>
      <w:r w:rsidRPr="00C740E4">
        <w:rPr>
          <w:rFonts w:ascii="Times New Roman" w:eastAsiaTheme="minorEastAsia" w:hAnsi="Times New Roman" w:cs="Times New Roman"/>
          <w:sz w:val="28"/>
          <w:szCs w:val="28"/>
        </w:rPr>
        <w:t xml:space="preserve">Беспалова О.В., </w:t>
      </w:r>
      <w:proofErr w:type="spellStart"/>
      <w:r w:rsidRPr="00C740E4">
        <w:rPr>
          <w:rFonts w:ascii="Times New Roman" w:eastAsiaTheme="minorEastAsia" w:hAnsi="Times New Roman" w:cs="Times New Roman"/>
          <w:sz w:val="28"/>
          <w:szCs w:val="28"/>
        </w:rPr>
        <w:t>Ковалерова</w:t>
      </w:r>
      <w:proofErr w:type="spellEnd"/>
      <w:r w:rsidRPr="00C740E4">
        <w:rPr>
          <w:rFonts w:ascii="Times New Roman" w:eastAsiaTheme="minorEastAsia" w:hAnsi="Times New Roman" w:cs="Times New Roman"/>
          <w:sz w:val="28"/>
          <w:szCs w:val="28"/>
        </w:rPr>
        <w:t xml:space="preserve"> Л.А. Инвестиционное страхование жизни // Современная наука: актуальные проблемы теории и практики. Серия: Экономика и Право. — 2020. — №4. — С. 34–36.</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12.</w:t>
      </w:r>
      <w:r>
        <w:rPr>
          <w:rFonts w:ascii="Times New Roman" w:eastAsiaTheme="minorEastAsia" w:hAnsi="Times New Roman" w:cs="Times New Roman"/>
          <w:sz w:val="28"/>
          <w:szCs w:val="28"/>
        </w:rPr>
        <w:tab/>
      </w:r>
      <w:r w:rsidRPr="00C740E4">
        <w:rPr>
          <w:rFonts w:ascii="Times New Roman" w:eastAsiaTheme="minorEastAsia" w:hAnsi="Times New Roman" w:cs="Times New Roman"/>
          <w:sz w:val="28"/>
          <w:szCs w:val="28"/>
        </w:rPr>
        <w:t>Куницкая Е.В., Рыбкина М.В. Правовой институт страхования как способ защиты прав инвесторов // Ленинградский юридический журнал. — 2020. — №4. — С. 115–126.</w:t>
      </w:r>
    </w:p>
    <w:p w:rsidR="00C740E4" w:rsidRPr="00C740E4" w:rsidRDefault="00C740E4" w:rsidP="00C740E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13.</w:t>
      </w:r>
      <w:r>
        <w:rPr>
          <w:rFonts w:ascii="Times New Roman" w:eastAsiaTheme="minorEastAsia" w:hAnsi="Times New Roman" w:cs="Times New Roman"/>
          <w:sz w:val="28"/>
          <w:szCs w:val="28"/>
        </w:rPr>
        <w:tab/>
      </w:r>
      <w:r w:rsidRPr="00C740E4">
        <w:rPr>
          <w:rFonts w:ascii="Times New Roman" w:eastAsiaTheme="minorEastAsia" w:hAnsi="Times New Roman" w:cs="Times New Roman"/>
          <w:sz w:val="28"/>
          <w:szCs w:val="28"/>
        </w:rPr>
        <w:t>Юрченко И.С. Долевое страхования жизни как инструмент преодоления системных рисков через регуляторные реформы на российском страховом рынке // Вестник юридических исследований. — 2025. — №3. — С. 112–117.</w:t>
      </w:r>
    </w:p>
    <w:p w:rsidR="00C740E4" w:rsidRPr="00C740E4" w:rsidRDefault="00C740E4" w:rsidP="00C740E4">
      <w:pPr>
        <w:spacing w:line="360" w:lineRule="auto"/>
        <w:jc w:val="both"/>
        <w:rPr>
          <w:rFonts w:ascii="Times New Roman" w:eastAsiaTheme="minorEastAsia" w:hAnsi="Times New Roman" w:cs="Times New Roman"/>
          <w:sz w:val="28"/>
          <w:szCs w:val="28"/>
          <w:lang w:val="en-US"/>
        </w:rPr>
      </w:pPr>
      <w:r w:rsidRPr="00C740E4">
        <w:rPr>
          <w:rFonts w:ascii="Times New Roman" w:eastAsiaTheme="minorEastAsia" w:hAnsi="Times New Roman" w:cs="Times New Roman"/>
          <w:sz w:val="28"/>
          <w:szCs w:val="28"/>
          <w:lang w:val="en-US"/>
        </w:rPr>
        <w:t>14.</w:t>
      </w:r>
      <w:r w:rsidRPr="00C740E4">
        <w:rPr>
          <w:rFonts w:ascii="Times New Roman" w:eastAsiaTheme="minorEastAsia" w:hAnsi="Times New Roman" w:cs="Times New Roman"/>
          <w:sz w:val="28"/>
          <w:szCs w:val="28"/>
          <w:lang w:val="en-US"/>
        </w:rPr>
        <w:tab/>
        <w:t xml:space="preserve">Dupire B. </w:t>
      </w:r>
      <w:proofErr w:type="gramStart"/>
      <w:r w:rsidRPr="00C740E4">
        <w:rPr>
          <w:rFonts w:ascii="Times New Roman" w:eastAsiaTheme="minorEastAsia" w:hAnsi="Times New Roman" w:cs="Times New Roman"/>
          <w:sz w:val="28"/>
          <w:szCs w:val="28"/>
          <w:lang w:val="en-US"/>
        </w:rPr>
        <w:t>et al.</w:t>
      </w:r>
      <w:proofErr w:type="gramEnd"/>
      <w:r w:rsidRPr="00C740E4">
        <w:rPr>
          <w:rFonts w:ascii="Times New Roman" w:eastAsiaTheme="minorEastAsia" w:hAnsi="Times New Roman" w:cs="Times New Roman"/>
          <w:sz w:val="28"/>
          <w:szCs w:val="28"/>
          <w:lang w:val="en-US"/>
        </w:rPr>
        <w:t xml:space="preserve"> Pricing with a smile //Risk. – 1</w:t>
      </w:r>
      <w:r>
        <w:rPr>
          <w:rFonts w:ascii="Times New Roman" w:eastAsiaTheme="minorEastAsia" w:hAnsi="Times New Roman" w:cs="Times New Roman"/>
          <w:sz w:val="28"/>
          <w:szCs w:val="28"/>
          <w:lang w:val="en-US"/>
        </w:rPr>
        <w:t>994. – Т. 7. – №. 1. – С. 18-20</w:t>
      </w:r>
      <w:r w:rsidRPr="00C740E4">
        <w:rPr>
          <w:lang w:val="en-US"/>
        </w:rPr>
        <w:t xml:space="preserve"> </w:t>
      </w:r>
    </w:p>
    <w:p w:rsidR="00C740E4" w:rsidRPr="00C740E4" w:rsidRDefault="00C740E4" w:rsidP="00C740E4">
      <w:pPr>
        <w:spacing w:line="360" w:lineRule="auto"/>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15.</w:t>
      </w:r>
      <w:r>
        <w:rPr>
          <w:rFonts w:ascii="Times New Roman" w:eastAsiaTheme="minorEastAsia" w:hAnsi="Times New Roman" w:cs="Times New Roman"/>
          <w:sz w:val="28"/>
          <w:szCs w:val="28"/>
          <w:lang w:val="en-US"/>
        </w:rPr>
        <w:tab/>
      </w:r>
      <w:proofErr w:type="spellStart"/>
      <w:r w:rsidRPr="00C740E4">
        <w:rPr>
          <w:rFonts w:ascii="Times New Roman" w:eastAsiaTheme="minorEastAsia" w:hAnsi="Times New Roman" w:cs="Times New Roman"/>
          <w:sz w:val="28"/>
          <w:szCs w:val="28"/>
          <w:lang w:val="en-US"/>
        </w:rPr>
        <w:t>Aase</w:t>
      </w:r>
      <w:proofErr w:type="spellEnd"/>
      <w:r w:rsidRPr="00C740E4">
        <w:rPr>
          <w:rFonts w:ascii="Times New Roman" w:eastAsiaTheme="minorEastAsia" w:hAnsi="Times New Roman" w:cs="Times New Roman"/>
          <w:sz w:val="28"/>
          <w:szCs w:val="28"/>
          <w:lang w:val="en-US"/>
        </w:rPr>
        <w:t xml:space="preserve"> K. K., </w:t>
      </w:r>
      <w:proofErr w:type="spellStart"/>
      <w:r w:rsidRPr="00C740E4">
        <w:rPr>
          <w:rFonts w:ascii="Times New Roman" w:eastAsiaTheme="minorEastAsia" w:hAnsi="Times New Roman" w:cs="Times New Roman"/>
          <w:sz w:val="28"/>
          <w:szCs w:val="28"/>
          <w:lang w:val="en-US"/>
        </w:rPr>
        <w:t>Persson</w:t>
      </w:r>
      <w:proofErr w:type="spellEnd"/>
      <w:r w:rsidRPr="00C740E4">
        <w:rPr>
          <w:rFonts w:ascii="Times New Roman" w:eastAsiaTheme="minorEastAsia" w:hAnsi="Times New Roman" w:cs="Times New Roman"/>
          <w:sz w:val="28"/>
          <w:szCs w:val="28"/>
          <w:lang w:val="en-US"/>
        </w:rPr>
        <w:t xml:space="preserve"> S. A. Pricing of unit-linked life insurance policies //Scandinavian Actuarial Journal. – 1994. – Т. 1994. – №. 1. – С. 26-52.</w:t>
      </w:r>
    </w:p>
    <w:p w:rsidR="00C740E4" w:rsidRPr="00C740E4" w:rsidRDefault="00C740E4" w:rsidP="00C740E4">
      <w:pPr>
        <w:spacing w:line="360" w:lineRule="auto"/>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16.</w:t>
      </w:r>
      <w:r>
        <w:rPr>
          <w:rFonts w:ascii="Times New Roman" w:eastAsiaTheme="minorEastAsia" w:hAnsi="Times New Roman" w:cs="Times New Roman"/>
          <w:sz w:val="28"/>
          <w:szCs w:val="28"/>
          <w:lang w:val="en-US"/>
        </w:rPr>
        <w:tab/>
      </w:r>
      <w:r w:rsidRPr="00C740E4">
        <w:rPr>
          <w:rFonts w:ascii="Times New Roman" w:eastAsiaTheme="minorEastAsia" w:hAnsi="Times New Roman" w:cs="Times New Roman"/>
          <w:sz w:val="28"/>
          <w:szCs w:val="28"/>
          <w:lang w:val="en-US"/>
        </w:rPr>
        <w:t xml:space="preserve">Hanna V., </w:t>
      </w:r>
      <w:proofErr w:type="spellStart"/>
      <w:r w:rsidRPr="00C740E4">
        <w:rPr>
          <w:rFonts w:ascii="Times New Roman" w:eastAsiaTheme="minorEastAsia" w:hAnsi="Times New Roman" w:cs="Times New Roman"/>
          <w:sz w:val="28"/>
          <w:szCs w:val="28"/>
          <w:lang w:val="en-US"/>
        </w:rPr>
        <w:t>Hieber</w:t>
      </w:r>
      <w:proofErr w:type="spellEnd"/>
      <w:r w:rsidRPr="00C740E4">
        <w:rPr>
          <w:rFonts w:ascii="Times New Roman" w:eastAsiaTheme="minorEastAsia" w:hAnsi="Times New Roman" w:cs="Times New Roman"/>
          <w:sz w:val="28"/>
          <w:szCs w:val="28"/>
          <w:lang w:val="en-US"/>
        </w:rPr>
        <w:t xml:space="preserve"> P., </w:t>
      </w:r>
      <w:proofErr w:type="spellStart"/>
      <w:r w:rsidRPr="00C740E4">
        <w:rPr>
          <w:rFonts w:ascii="Times New Roman" w:eastAsiaTheme="minorEastAsia" w:hAnsi="Times New Roman" w:cs="Times New Roman"/>
          <w:sz w:val="28"/>
          <w:szCs w:val="28"/>
          <w:lang w:val="en-US"/>
        </w:rPr>
        <w:t>Devolder</w:t>
      </w:r>
      <w:proofErr w:type="spellEnd"/>
      <w:r w:rsidRPr="00C740E4">
        <w:rPr>
          <w:rFonts w:ascii="Times New Roman" w:eastAsiaTheme="minorEastAsia" w:hAnsi="Times New Roman" w:cs="Times New Roman"/>
          <w:sz w:val="28"/>
          <w:szCs w:val="28"/>
          <w:lang w:val="en-US"/>
        </w:rPr>
        <w:t xml:space="preserve"> P. Mixed participating and unit-linked life insurance contracts: design, pricing and optimal strategy //Scandinavian Actuarial Journal. – 202</w:t>
      </w:r>
      <w:bookmarkStart w:id="0" w:name="_GoBack"/>
      <w:bookmarkEnd w:id="0"/>
      <w:r w:rsidRPr="00C740E4">
        <w:rPr>
          <w:rFonts w:ascii="Times New Roman" w:eastAsiaTheme="minorEastAsia" w:hAnsi="Times New Roman" w:cs="Times New Roman"/>
          <w:sz w:val="28"/>
          <w:szCs w:val="28"/>
          <w:lang w:val="en-US"/>
        </w:rPr>
        <w:t>2. – Т. 2022. – №. 5. – С. 421-446.</w:t>
      </w:r>
    </w:p>
    <w:p w:rsidR="00C740E4" w:rsidRDefault="00C740E4" w:rsidP="00C740E4">
      <w:pPr>
        <w:spacing w:line="360" w:lineRule="auto"/>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17.</w:t>
      </w:r>
      <w:r>
        <w:rPr>
          <w:rFonts w:ascii="Times New Roman" w:eastAsiaTheme="minorEastAsia" w:hAnsi="Times New Roman" w:cs="Times New Roman"/>
          <w:sz w:val="28"/>
          <w:szCs w:val="28"/>
          <w:lang w:val="en-US"/>
        </w:rPr>
        <w:tab/>
      </w:r>
      <w:proofErr w:type="spellStart"/>
      <w:r w:rsidRPr="00C740E4">
        <w:rPr>
          <w:rFonts w:ascii="Times New Roman" w:eastAsiaTheme="minorEastAsia" w:hAnsi="Times New Roman" w:cs="Times New Roman"/>
          <w:sz w:val="28"/>
          <w:szCs w:val="28"/>
          <w:lang w:val="en-US"/>
        </w:rPr>
        <w:t>Colaneri</w:t>
      </w:r>
      <w:proofErr w:type="spellEnd"/>
      <w:r w:rsidRPr="00C740E4">
        <w:rPr>
          <w:rFonts w:ascii="Times New Roman" w:eastAsiaTheme="minorEastAsia" w:hAnsi="Times New Roman" w:cs="Times New Roman"/>
          <w:sz w:val="28"/>
          <w:szCs w:val="28"/>
          <w:lang w:val="en-US"/>
        </w:rPr>
        <w:t xml:space="preserve"> K. </w:t>
      </w:r>
      <w:proofErr w:type="gramStart"/>
      <w:r w:rsidRPr="00C740E4">
        <w:rPr>
          <w:rFonts w:ascii="Times New Roman" w:eastAsiaTheme="minorEastAsia" w:hAnsi="Times New Roman" w:cs="Times New Roman"/>
          <w:sz w:val="28"/>
          <w:szCs w:val="28"/>
          <w:lang w:val="en-US"/>
        </w:rPr>
        <w:t>et al.</w:t>
      </w:r>
      <w:proofErr w:type="gramEnd"/>
      <w:r w:rsidRPr="00C740E4">
        <w:rPr>
          <w:rFonts w:ascii="Times New Roman" w:eastAsiaTheme="minorEastAsia" w:hAnsi="Times New Roman" w:cs="Times New Roman"/>
          <w:sz w:val="28"/>
          <w:szCs w:val="28"/>
          <w:lang w:val="en-US"/>
        </w:rPr>
        <w:t xml:space="preserve"> Design and hedging of unit linked life insurance with environmental factors //</w:t>
      </w:r>
      <w:proofErr w:type="spellStart"/>
      <w:r w:rsidRPr="00C740E4">
        <w:rPr>
          <w:rFonts w:ascii="Times New Roman" w:eastAsiaTheme="minorEastAsia" w:hAnsi="Times New Roman" w:cs="Times New Roman"/>
          <w:sz w:val="28"/>
          <w:szCs w:val="28"/>
          <w:lang w:val="en-US"/>
        </w:rPr>
        <w:t>arXiv</w:t>
      </w:r>
      <w:proofErr w:type="spellEnd"/>
      <w:r w:rsidRPr="00C740E4">
        <w:rPr>
          <w:rFonts w:ascii="Times New Roman" w:eastAsiaTheme="minorEastAsia" w:hAnsi="Times New Roman" w:cs="Times New Roman"/>
          <w:sz w:val="28"/>
          <w:szCs w:val="28"/>
          <w:lang w:val="en-US"/>
        </w:rPr>
        <w:t xml:space="preserve"> preprint arXiv:2509.05676. – 2025.</w:t>
      </w:r>
    </w:p>
    <w:p w:rsidR="00C740E4" w:rsidRPr="00C740E4" w:rsidRDefault="00C740E4" w:rsidP="00C740E4">
      <w:pPr>
        <w:spacing w:line="360" w:lineRule="auto"/>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18.</w:t>
      </w:r>
      <w:r>
        <w:rPr>
          <w:rFonts w:ascii="Times New Roman" w:eastAsiaTheme="minorEastAsia" w:hAnsi="Times New Roman" w:cs="Times New Roman"/>
          <w:sz w:val="28"/>
          <w:szCs w:val="28"/>
          <w:lang w:val="en-US"/>
        </w:rPr>
        <w:tab/>
      </w:r>
      <w:r w:rsidRPr="00C740E4">
        <w:rPr>
          <w:rFonts w:ascii="Times New Roman" w:eastAsiaTheme="minorEastAsia" w:hAnsi="Times New Roman" w:cs="Times New Roman"/>
          <w:sz w:val="28"/>
          <w:szCs w:val="28"/>
          <w:lang w:val="en-US"/>
        </w:rPr>
        <w:t>Gupta A. Unit linked insurance products (ULIPs)-Insurance or investment? //Procedia-Social and Behavioral Sciences. – 2012. – Т. 37. – С. 67-85.</w:t>
      </w:r>
    </w:p>
    <w:sectPr w:rsidR="00C740E4" w:rsidRPr="00C740E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78B0" w:rsidRDefault="000678B0" w:rsidP="00E00A5B">
      <w:pPr>
        <w:spacing w:after="0" w:line="240" w:lineRule="auto"/>
      </w:pPr>
      <w:r>
        <w:separator/>
      </w:r>
    </w:p>
  </w:endnote>
  <w:endnote w:type="continuationSeparator" w:id="0">
    <w:p w:rsidR="000678B0" w:rsidRDefault="000678B0" w:rsidP="00E00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78B0" w:rsidRDefault="000678B0" w:rsidP="00E00A5B">
      <w:pPr>
        <w:spacing w:after="0" w:line="240" w:lineRule="auto"/>
      </w:pPr>
      <w:r>
        <w:separator/>
      </w:r>
    </w:p>
  </w:footnote>
  <w:footnote w:type="continuationSeparator" w:id="0">
    <w:p w:rsidR="000678B0" w:rsidRDefault="000678B0" w:rsidP="00E00A5B">
      <w:pPr>
        <w:spacing w:after="0" w:line="240" w:lineRule="auto"/>
      </w:pPr>
      <w:r>
        <w:continuationSeparator/>
      </w:r>
    </w:p>
  </w:footnote>
  <w:footnote w:id="1">
    <w:p w:rsidR="00BB2B92" w:rsidRPr="00BA14F5" w:rsidRDefault="00BB2B92">
      <w:pPr>
        <w:pStyle w:val="a4"/>
        <w:rPr>
          <w:rFonts w:ascii="Times New Roman" w:hAnsi="Times New Roman" w:cs="Times New Roman"/>
        </w:rPr>
      </w:pPr>
      <w:r w:rsidRPr="00BA14F5">
        <w:rPr>
          <w:rStyle w:val="a6"/>
          <w:rFonts w:ascii="Times New Roman" w:hAnsi="Times New Roman" w:cs="Times New Roman"/>
        </w:rPr>
        <w:footnoteRef/>
      </w:r>
      <w:r w:rsidRPr="00BA14F5">
        <w:rPr>
          <w:rFonts w:ascii="Times New Roman" w:hAnsi="Times New Roman" w:cs="Times New Roman"/>
        </w:rPr>
        <w:t xml:space="preserve"> К таким факторам можно отнести возраст агента, пол, род его деятельности, место проживания, наличие хронических заболеваний и так далее.</w:t>
      </w:r>
    </w:p>
  </w:footnote>
  <w:footnote w:id="2">
    <w:p w:rsidR="00BB2B92" w:rsidRPr="00553089" w:rsidRDefault="00BB2B92">
      <w:pPr>
        <w:pStyle w:val="a4"/>
        <w:rPr>
          <w:rFonts w:ascii="Times New Roman" w:hAnsi="Times New Roman" w:cs="Times New Roman"/>
        </w:rPr>
      </w:pPr>
      <w:r w:rsidRPr="00553089">
        <w:rPr>
          <w:rStyle w:val="a6"/>
          <w:rFonts w:ascii="Times New Roman" w:hAnsi="Times New Roman" w:cs="Times New Roman"/>
        </w:rPr>
        <w:footnoteRef/>
      </w:r>
      <w:r w:rsidRPr="00553089">
        <w:rPr>
          <w:rFonts w:ascii="Times New Roman" w:hAnsi="Times New Roman" w:cs="Times New Roman"/>
        </w:rPr>
        <w:t xml:space="preserve"> </w:t>
      </w:r>
      <w:hyperlink r:id="rId1" w:history="1">
        <w:r w:rsidRPr="00553089">
          <w:rPr>
            <w:rStyle w:val="a8"/>
            <w:rFonts w:ascii="Times New Roman" w:eastAsiaTheme="minorEastAsia" w:hAnsi="Times New Roman" w:cs="Times New Roman"/>
          </w:rPr>
          <w:t>https://www.cbr.ru/press/event/?id=23279</w:t>
        </w:r>
      </w:hyperlink>
      <w:r w:rsidRPr="00553089">
        <w:rPr>
          <w:rFonts w:ascii="Times New Roman" w:eastAsiaTheme="minorEastAsia"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D15CF"/>
    <w:multiLevelType w:val="hybridMultilevel"/>
    <w:tmpl w:val="A426CD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3536F70"/>
    <w:multiLevelType w:val="hybridMultilevel"/>
    <w:tmpl w:val="A426CD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6B8318E"/>
    <w:multiLevelType w:val="hybridMultilevel"/>
    <w:tmpl w:val="8EBEBA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7F0"/>
    <w:rsid w:val="000678B0"/>
    <w:rsid w:val="00096402"/>
    <w:rsid w:val="000D4FA1"/>
    <w:rsid w:val="001D7CD7"/>
    <w:rsid w:val="001E7077"/>
    <w:rsid w:val="002B752D"/>
    <w:rsid w:val="00363BB4"/>
    <w:rsid w:val="00460F4C"/>
    <w:rsid w:val="004639F1"/>
    <w:rsid w:val="004C5E57"/>
    <w:rsid w:val="00553089"/>
    <w:rsid w:val="005C653A"/>
    <w:rsid w:val="005D1C66"/>
    <w:rsid w:val="005D380F"/>
    <w:rsid w:val="005D7C3A"/>
    <w:rsid w:val="006273C4"/>
    <w:rsid w:val="006470BA"/>
    <w:rsid w:val="00652DE0"/>
    <w:rsid w:val="006E690B"/>
    <w:rsid w:val="0077245C"/>
    <w:rsid w:val="007777F0"/>
    <w:rsid w:val="007866A4"/>
    <w:rsid w:val="008256C7"/>
    <w:rsid w:val="00836FE3"/>
    <w:rsid w:val="008C64CA"/>
    <w:rsid w:val="008F6EEA"/>
    <w:rsid w:val="00905999"/>
    <w:rsid w:val="009306F2"/>
    <w:rsid w:val="00972664"/>
    <w:rsid w:val="009C633E"/>
    <w:rsid w:val="00AF73D5"/>
    <w:rsid w:val="00B92FAC"/>
    <w:rsid w:val="00BA14F5"/>
    <w:rsid w:val="00BA522B"/>
    <w:rsid w:val="00BB227C"/>
    <w:rsid w:val="00BB2B92"/>
    <w:rsid w:val="00C45F33"/>
    <w:rsid w:val="00C65424"/>
    <w:rsid w:val="00C740E4"/>
    <w:rsid w:val="00C764DC"/>
    <w:rsid w:val="00C93241"/>
    <w:rsid w:val="00D144ED"/>
    <w:rsid w:val="00D663DA"/>
    <w:rsid w:val="00DC6759"/>
    <w:rsid w:val="00E00A5B"/>
    <w:rsid w:val="00E2729A"/>
    <w:rsid w:val="00E55EF1"/>
    <w:rsid w:val="00E74DCF"/>
    <w:rsid w:val="00E90986"/>
    <w:rsid w:val="00EF63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CD51D"/>
  <w15:chartTrackingRefBased/>
  <w15:docId w15:val="{5B6A5B5D-8A0F-49A9-A169-1115E755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2FAC"/>
    <w:rPr>
      <w:color w:val="808080"/>
    </w:rPr>
  </w:style>
  <w:style w:type="paragraph" w:styleId="a4">
    <w:name w:val="footnote text"/>
    <w:basedOn w:val="a"/>
    <w:link w:val="a5"/>
    <w:uiPriority w:val="99"/>
    <w:semiHidden/>
    <w:unhideWhenUsed/>
    <w:rsid w:val="00E00A5B"/>
    <w:pPr>
      <w:spacing w:after="0" w:line="240" w:lineRule="auto"/>
    </w:pPr>
    <w:rPr>
      <w:sz w:val="20"/>
      <w:szCs w:val="20"/>
    </w:rPr>
  </w:style>
  <w:style w:type="character" w:customStyle="1" w:styleId="a5">
    <w:name w:val="Текст сноски Знак"/>
    <w:basedOn w:val="a0"/>
    <w:link w:val="a4"/>
    <w:uiPriority w:val="99"/>
    <w:semiHidden/>
    <w:rsid w:val="00E00A5B"/>
    <w:rPr>
      <w:sz w:val="20"/>
      <w:szCs w:val="20"/>
    </w:rPr>
  </w:style>
  <w:style w:type="character" w:styleId="a6">
    <w:name w:val="footnote reference"/>
    <w:basedOn w:val="a0"/>
    <w:uiPriority w:val="99"/>
    <w:semiHidden/>
    <w:unhideWhenUsed/>
    <w:rsid w:val="00E00A5B"/>
    <w:rPr>
      <w:vertAlign w:val="superscript"/>
    </w:rPr>
  </w:style>
  <w:style w:type="paragraph" w:styleId="a7">
    <w:name w:val="List Paragraph"/>
    <w:basedOn w:val="a"/>
    <w:uiPriority w:val="34"/>
    <w:qFormat/>
    <w:rsid w:val="0077245C"/>
    <w:pPr>
      <w:ind w:left="720"/>
      <w:contextualSpacing/>
    </w:pPr>
  </w:style>
  <w:style w:type="character" w:styleId="a8">
    <w:name w:val="Hyperlink"/>
    <w:basedOn w:val="a0"/>
    <w:uiPriority w:val="99"/>
    <w:unhideWhenUsed/>
    <w:rsid w:val="008256C7"/>
    <w:rPr>
      <w:color w:val="0563C1" w:themeColor="hyperlink"/>
      <w:u w:val="single"/>
    </w:rPr>
  </w:style>
  <w:style w:type="character" w:styleId="a9">
    <w:name w:val="FollowedHyperlink"/>
    <w:basedOn w:val="a0"/>
    <w:uiPriority w:val="99"/>
    <w:semiHidden/>
    <w:unhideWhenUsed/>
    <w:rsid w:val="008256C7"/>
    <w:rPr>
      <w:color w:val="954F72" w:themeColor="followedHyperlink"/>
      <w:u w:val="single"/>
    </w:rPr>
  </w:style>
  <w:style w:type="table" w:styleId="aa">
    <w:name w:val="Table Grid"/>
    <w:basedOn w:val="a1"/>
    <w:uiPriority w:val="39"/>
    <w:rsid w:val="00930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964366">
      <w:bodyDiv w:val="1"/>
      <w:marLeft w:val="0"/>
      <w:marRight w:val="0"/>
      <w:marTop w:val="0"/>
      <w:marBottom w:val="0"/>
      <w:divBdr>
        <w:top w:val="none" w:sz="0" w:space="0" w:color="auto"/>
        <w:left w:val="none" w:sz="0" w:space="0" w:color="auto"/>
        <w:bottom w:val="none" w:sz="0" w:space="0" w:color="auto"/>
        <w:right w:val="none" w:sz="0" w:space="0" w:color="auto"/>
      </w:divBdr>
    </w:div>
    <w:div w:id="470515123">
      <w:bodyDiv w:val="1"/>
      <w:marLeft w:val="0"/>
      <w:marRight w:val="0"/>
      <w:marTop w:val="0"/>
      <w:marBottom w:val="0"/>
      <w:divBdr>
        <w:top w:val="none" w:sz="0" w:space="0" w:color="auto"/>
        <w:left w:val="none" w:sz="0" w:space="0" w:color="auto"/>
        <w:bottom w:val="none" w:sz="0" w:space="0" w:color="auto"/>
        <w:right w:val="none" w:sz="0" w:space="0" w:color="auto"/>
      </w:divBdr>
    </w:div>
    <w:div w:id="861163026">
      <w:bodyDiv w:val="1"/>
      <w:marLeft w:val="0"/>
      <w:marRight w:val="0"/>
      <w:marTop w:val="0"/>
      <w:marBottom w:val="0"/>
      <w:divBdr>
        <w:top w:val="none" w:sz="0" w:space="0" w:color="auto"/>
        <w:left w:val="none" w:sz="0" w:space="0" w:color="auto"/>
        <w:bottom w:val="none" w:sz="0" w:space="0" w:color="auto"/>
        <w:right w:val="none" w:sz="0" w:space="0" w:color="auto"/>
      </w:divBdr>
    </w:div>
    <w:div w:id="1051198707">
      <w:bodyDiv w:val="1"/>
      <w:marLeft w:val="0"/>
      <w:marRight w:val="0"/>
      <w:marTop w:val="0"/>
      <w:marBottom w:val="0"/>
      <w:divBdr>
        <w:top w:val="none" w:sz="0" w:space="0" w:color="auto"/>
        <w:left w:val="none" w:sz="0" w:space="0" w:color="auto"/>
        <w:bottom w:val="none" w:sz="0" w:space="0" w:color="auto"/>
        <w:right w:val="none" w:sz="0" w:space="0" w:color="auto"/>
      </w:divBdr>
    </w:div>
    <w:div w:id="1130437383">
      <w:bodyDiv w:val="1"/>
      <w:marLeft w:val="0"/>
      <w:marRight w:val="0"/>
      <w:marTop w:val="0"/>
      <w:marBottom w:val="0"/>
      <w:divBdr>
        <w:top w:val="none" w:sz="0" w:space="0" w:color="auto"/>
        <w:left w:val="none" w:sz="0" w:space="0" w:color="auto"/>
        <w:bottom w:val="none" w:sz="0" w:space="0" w:color="auto"/>
        <w:right w:val="none" w:sz="0" w:space="0" w:color="auto"/>
      </w:divBdr>
    </w:div>
    <w:div w:id="1468160959">
      <w:bodyDiv w:val="1"/>
      <w:marLeft w:val="0"/>
      <w:marRight w:val="0"/>
      <w:marTop w:val="0"/>
      <w:marBottom w:val="0"/>
      <w:divBdr>
        <w:top w:val="none" w:sz="0" w:space="0" w:color="auto"/>
        <w:left w:val="none" w:sz="0" w:space="0" w:color="auto"/>
        <w:bottom w:val="none" w:sz="0" w:space="0" w:color="auto"/>
        <w:right w:val="none" w:sz="0" w:space="0" w:color="auto"/>
      </w:divBdr>
    </w:div>
    <w:div w:id="1716389090">
      <w:bodyDiv w:val="1"/>
      <w:marLeft w:val="0"/>
      <w:marRight w:val="0"/>
      <w:marTop w:val="0"/>
      <w:marBottom w:val="0"/>
      <w:divBdr>
        <w:top w:val="none" w:sz="0" w:space="0" w:color="auto"/>
        <w:left w:val="none" w:sz="0" w:space="0" w:color="auto"/>
        <w:bottom w:val="none" w:sz="0" w:space="0" w:color="auto"/>
        <w:right w:val="none" w:sz="0" w:space="0" w:color="auto"/>
      </w:divBdr>
    </w:div>
    <w:div w:id="1950769014">
      <w:bodyDiv w:val="1"/>
      <w:marLeft w:val="0"/>
      <w:marRight w:val="0"/>
      <w:marTop w:val="0"/>
      <w:marBottom w:val="0"/>
      <w:divBdr>
        <w:top w:val="none" w:sz="0" w:space="0" w:color="auto"/>
        <w:left w:val="none" w:sz="0" w:space="0" w:color="auto"/>
        <w:bottom w:val="none" w:sz="0" w:space="0" w:color="auto"/>
        <w:right w:val="none" w:sz="0" w:space="0" w:color="auto"/>
      </w:divBdr>
      <w:divsChild>
        <w:div w:id="2132018656">
          <w:marLeft w:val="0"/>
          <w:marRight w:val="0"/>
          <w:marTop w:val="0"/>
          <w:marBottom w:val="0"/>
          <w:divBdr>
            <w:top w:val="none" w:sz="0" w:space="0" w:color="auto"/>
            <w:left w:val="none" w:sz="0" w:space="0" w:color="auto"/>
            <w:bottom w:val="none" w:sz="0" w:space="0" w:color="auto"/>
            <w:right w:val="none" w:sz="0" w:space="0" w:color="auto"/>
          </w:divBdr>
          <w:divsChild>
            <w:div w:id="19759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chno.st/datasets/mortality" TargetMode="External"/><Relationship Id="rId13" Type="http://schemas.openxmlformats.org/officeDocument/2006/relationships/hyperlink" Target="https://www.moex.com/s253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ex.com/a2193"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s://www.cbr.ru/press/event/?id=2327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4AC15-52E5-4525-87B1-577A9E901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34</Pages>
  <Words>7479</Words>
  <Characters>42631</Characters>
  <Application>Microsoft Office Word</Application>
  <DocSecurity>0</DocSecurity>
  <Lines>355</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16</cp:revision>
  <dcterms:created xsi:type="dcterms:W3CDTF">2026-03-06T23:27:00Z</dcterms:created>
  <dcterms:modified xsi:type="dcterms:W3CDTF">2026-03-07T08:46:00Z</dcterms:modified>
</cp:coreProperties>
</file>