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10F3" w:rsidRDefault="0008799F" w:rsidP="00D410F3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Рассмотрим следующие вечные фьючерсы: </w:t>
      </w:r>
      <w:r>
        <w:rPr>
          <w:rFonts w:cs="Times New Roman"/>
          <w:color w:val="000000" w:themeColor="text1"/>
          <w:szCs w:val="24"/>
          <w:lang w:val="en-US"/>
        </w:rPr>
        <w:t>CNYRUBF</w:t>
      </w:r>
      <w:r w:rsidRPr="0008799F">
        <w:rPr>
          <w:rFonts w:cs="Times New Roman"/>
          <w:color w:val="000000" w:themeColor="text1"/>
          <w:szCs w:val="24"/>
        </w:rPr>
        <w:t xml:space="preserve">, </w:t>
      </w:r>
      <w:r>
        <w:rPr>
          <w:rFonts w:cs="Times New Roman"/>
          <w:color w:val="000000" w:themeColor="text1"/>
          <w:szCs w:val="24"/>
          <w:lang w:val="en-US"/>
        </w:rPr>
        <w:t>USD</w:t>
      </w:r>
      <w:r>
        <w:rPr>
          <w:rFonts w:cs="Times New Roman"/>
          <w:color w:val="000000" w:themeColor="text1"/>
          <w:szCs w:val="24"/>
          <w:lang w:val="en-US"/>
        </w:rPr>
        <w:t>RUBF</w:t>
      </w:r>
      <w:r w:rsidRPr="0008799F">
        <w:rPr>
          <w:rFonts w:cs="Times New Roman"/>
          <w:color w:val="000000" w:themeColor="text1"/>
          <w:szCs w:val="24"/>
        </w:rPr>
        <w:t>,</w:t>
      </w:r>
      <w:r w:rsidRPr="0008799F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  <w:lang w:val="en-US"/>
        </w:rPr>
        <w:t>EUR</w:t>
      </w:r>
      <w:r>
        <w:rPr>
          <w:rFonts w:cs="Times New Roman"/>
          <w:color w:val="000000" w:themeColor="text1"/>
          <w:szCs w:val="24"/>
          <w:lang w:val="en-US"/>
        </w:rPr>
        <w:t>RUBF</w:t>
      </w:r>
      <w:r w:rsidRPr="0008799F">
        <w:rPr>
          <w:rFonts w:cs="Times New Roman"/>
          <w:color w:val="000000" w:themeColor="text1"/>
          <w:szCs w:val="24"/>
        </w:rPr>
        <w:t>,</w:t>
      </w:r>
      <w:r>
        <w:rPr>
          <w:rFonts w:cs="Times New Roman"/>
          <w:color w:val="000000" w:themeColor="text1"/>
          <w:szCs w:val="24"/>
          <w:lang w:val="en-US"/>
        </w:rPr>
        <w:t xml:space="preserve"> SBERF.</w:t>
      </w:r>
      <w:r w:rsidR="00D410F3">
        <w:rPr>
          <w:rFonts w:cs="Times New Roman"/>
          <w:color w:val="000000" w:themeColor="text1"/>
          <w:szCs w:val="24"/>
          <w:lang w:val="en-US"/>
        </w:rPr>
        <w:t xml:space="preserve"> </w:t>
      </w:r>
      <w:r w:rsidR="0090669F">
        <w:rPr>
          <w:rFonts w:cs="Times New Roman"/>
          <w:color w:val="000000" w:themeColor="text1"/>
          <w:szCs w:val="24"/>
        </w:rPr>
        <w:t>Предположим, инвестор удерживает длинную позицию в размере одного контрак</w:t>
      </w:r>
      <w:r w:rsidR="00AD6182">
        <w:rPr>
          <w:rFonts w:cs="Times New Roman"/>
          <w:color w:val="000000" w:themeColor="text1"/>
          <w:szCs w:val="24"/>
        </w:rPr>
        <w:t>т</w:t>
      </w:r>
      <w:r w:rsidR="0090669F">
        <w:rPr>
          <w:rFonts w:cs="Times New Roman"/>
          <w:color w:val="000000" w:themeColor="text1"/>
          <w:szCs w:val="24"/>
        </w:rPr>
        <w:t xml:space="preserve">а в вечном фьючерсе с момента начала его обращения до 30 сентября 2025 года. Тогда в каждый момент времени рассматриваемого периода инвестор уплачивает (если цена вечного фьючерса выше цены базового актива) или зарабатывает </w:t>
      </w:r>
      <w:r w:rsidR="0090669F">
        <w:rPr>
          <w:rFonts w:cs="Times New Roman"/>
          <w:color w:val="000000" w:themeColor="text1"/>
          <w:szCs w:val="24"/>
        </w:rPr>
        <w:t xml:space="preserve">(если цена вечного фьючерса </w:t>
      </w:r>
      <w:r w:rsidR="0090669F">
        <w:rPr>
          <w:rFonts w:cs="Times New Roman"/>
          <w:color w:val="000000" w:themeColor="text1"/>
          <w:szCs w:val="24"/>
        </w:rPr>
        <w:t>ниже</w:t>
      </w:r>
      <w:r w:rsidR="0090669F">
        <w:rPr>
          <w:rFonts w:cs="Times New Roman"/>
          <w:color w:val="000000" w:themeColor="text1"/>
          <w:szCs w:val="24"/>
        </w:rPr>
        <w:t xml:space="preserve"> цены базового актива)</w:t>
      </w:r>
      <w:r w:rsidR="0090669F">
        <w:rPr>
          <w:rFonts w:cs="Times New Roman"/>
          <w:color w:val="000000" w:themeColor="text1"/>
          <w:szCs w:val="24"/>
        </w:rPr>
        <w:t xml:space="preserve"> </w:t>
      </w:r>
      <w:proofErr w:type="spellStart"/>
      <w:r w:rsidR="0090669F">
        <w:rPr>
          <w:rFonts w:cs="Times New Roman"/>
          <w:color w:val="000000" w:themeColor="text1"/>
          <w:szCs w:val="24"/>
        </w:rPr>
        <w:t>фандинг</w:t>
      </w:r>
      <w:proofErr w:type="spellEnd"/>
      <w:r w:rsidR="0090669F">
        <w:rPr>
          <w:rFonts w:cs="Times New Roman"/>
          <w:color w:val="000000" w:themeColor="text1"/>
          <w:szCs w:val="24"/>
        </w:rPr>
        <w:t xml:space="preserve">. Результат за весь период будет равен суммарному </w:t>
      </w:r>
      <w:r w:rsidR="000C0364">
        <w:rPr>
          <w:rFonts w:cs="Times New Roman"/>
          <w:color w:val="000000" w:themeColor="text1"/>
          <w:szCs w:val="24"/>
        </w:rPr>
        <w:t xml:space="preserve">историческому </w:t>
      </w:r>
      <w:proofErr w:type="spellStart"/>
      <w:r w:rsidR="000C0364">
        <w:rPr>
          <w:rFonts w:cs="Times New Roman"/>
          <w:color w:val="000000" w:themeColor="text1"/>
          <w:szCs w:val="24"/>
        </w:rPr>
        <w:t>фандингу</w:t>
      </w:r>
      <w:proofErr w:type="spellEnd"/>
      <w:r w:rsidR="000C0364">
        <w:rPr>
          <w:rFonts w:cs="Times New Roman"/>
          <w:color w:val="000000" w:themeColor="text1"/>
          <w:szCs w:val="24"/>
        </w:rPr>
        <w:t>.</w:t>
      </w:r>
    </w:p>
    <w:p w:rsidR="000C0364" w:rsidRDefault="000C0364" w:rsidP="00D410F3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Гистограммы исторического распределения </w:t>
      </w:r>
      <w:proofErr w:type="spellStart"/>
      <w:r>
        <w:rPr>
          <w:rFonts w:cs="Times New Roman"/>
          <w:color w:val="000000" w:themeColor="text1"/>
          <w:szCs w:val="24"/>
        </w:rPr>
        <w:t>фандинга</w:t>
      </w:r>
      <w:proofErr w:type="spellEnd"/>
      <w:r>
        <w:rPr>
          <w:rFonts w:cs="Times New Roman"/>
          <w:color w:val="000000" w:themeColor="text1"/>
          <w:szCs w:val="24"/>
        </w:rPr>
        <w:t xml:space="preserve"> (в руб.) по рассматриваемым фьючерсам:</w:t>
      </w:r>
    </w:p>
    <w:p w:rsidR="000C0364" w:rsidRDefault="000C0364" w:rsidP="00D410F3">
      <w:pPr>
        <w:rPr>
          <w:rFonts w:cs="Times New Roman"/>
          <w:color w:val="000000" w:themeColor="text1"/>
          <w:szCs w:val="24"/>
        </w:rPr>
      </w:pPr>
      <w:r w:rsidRPr="000C0364">
        <w:rPr>
          <w:rFonts w:cs="Times New Roman"/>
          <w:color w:val="000000" w:themeColor="text1"/>
          <w:szCs w:val="24"/>
        </w:rPr>
        <w:drawing>
          <wp:inline distT="0" distB="0" distL="0" distR="0" wp14:anchorId="4A77F0EB" wp14:editId="2E83B124">
            <wp:extent cx="4576272" cy="6738937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00931" cy="677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EA1" w:rsidRDefault="001E2EA1" w:rsidP="00D410F3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>Доходы и расходы от удержания вечного фьючерса: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5381"/>
      </w:tblGrid>
      <w:tr w:rsidR="000C0364" w:rsidTr="000C0364">
        <w:tc>
          <w:tcPr>
            <w:tcW w:w="1555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Фьючерс</w:t>
            </w:r>
          </w:p>
        </w:tc>
        <w:tc>
          <w:tcPr>
            <w:tcW w:w="2409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Начало обращения</w:t>
            </w:r>
          </w:p>
        </w:tc>
        <w:tc>
          <w:tcPr>
            <w:tcW w:w="5381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Суммарный </w:t>
            </w:r>
            <w:proofErr w:type="spellStart"/>
            <w:r>
              <w:rPr>
                <w:rFonts w:cs="Times New Roman"/>
                <w:color w:val="000000" w:themeColor="text1"/>
                <w:szCs w:val="24"/>
              </w:rPr>
              <w:t>фандинг</w:t>
            </w:r>
            <w:proofErr w:type="spellEnd"/>
          </w:p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(в руб. с учетом </w:t>
            </w:r>
            <w:proofErr w:type="spellStart"/>
            <w:r>
              <w:rPr>
                <w:rFonts w:cs="Times New Roman"/>
                <w:color w:val="000000" w:themeColor="text1"/>
                <w:szCs w:val="24"/>
              </w:rPr>
              <w:t>лотности</w:t>
            </w:r>
            <w:proofErr w:type="spellEnd"/>
            <w:r>
              <w:rPr>
                <w:rFonts w:cs="Times New Roman"/>
                <w:color w:val="000000" w:themeColor="text1"/>
                <w:szCs w:val="24"/>
              </w:rPr>
              <w:t xml:space="preserve"> контракта)</w:t>
            </w:r>
          </w:p>
        </w:tc>
      </w:tr>
      <w:tr w:rsidR="000C0364" w:rsidTr="000C0364">
        <w:tc>
          <w:tcPr>
            <w:tcW w:w="1555" w:type="dxa"/>
          </w:tcPr>
          <w:p w:rsidR="000C0364" w:rsidRP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CNYRUBF</w:t>
            </w:r>
          </w:p>
        </w:tc>
        <w:tc>
          <w:tcPr>
            <w:tcW w:w="2409" w:type="dxa"/>
          </w:tcPr>
          <w:p w:rsidR="000C0364" w:rsidRP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0C0364" w:rsidRP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-2730,</w:t>
            </w:r>
            <w:r w:rsidRPr="000C0364">
              <w:rPr>
                <w:rFonts w:cs="Times New Roman"/>
                <w:color w:val="000000" w:themeColor="text1"/>
                <w:szCs w:val="24"/>
                <w:lang w:val="en-US"/>
              </w:rPr>
              <w:t>62</w:t>
            </w:r>
          </w:p>
        </w:tc>
      </w:tr>
      <w:tr w:rsidR="000C0364" w:rsidTr="000C0364">
        <w:tc>
          <w:tcPr>
            <w:tcW w:w="1555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USD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RUBF</w:t>
            </w:r>
          </w:p>
        </w:tc>
        <w:tc>
          <w:tcPr>
            <w:tcW w:w="2409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0C0364" w:rsidRP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-21165,</w:t>
            </w:r>
            <w:r w:rsidRPr="000C0364">
              <w:rPr>
                <w:rFonts w:cs="Times New Roman"/>
                <w:color w:val="000000" w:themeColor="text1"/>
                <w:szCs w:val="24"/>
              </w:rPr>
              <w:t>2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0</w:t>
            </w:r>
          </w:p>
        </w:tc>
      </w:tr>
      <w:tr w:rsidR="000C0364" w:rsidTr="000C0364">
        <w:tc>
          <w:tcPr>
            <w:tcW w:w="1555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EUR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RUBF</w:t>
            </w:r>
          </w:p>
        </w:tc>
        <w:tc>
          <w:tcPr>
            <w:tcW w:w="2409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-5541,</w:t>
            </w:r>
            <w:r w:rsidRPr="000C0364">
              <w:rPr>
                <w:rFonts w:cs="Times New Roman"/>
                <w:color w:val="000000" w:themeColor="text1"/>
                <w:szCs w:val="24"/>
              </w:rPr>
              <w:t>44</w:t>
            </w:r>
          </w:p>
        </w:tc>
      </w:tr>
      <w:tr w:rsidR="000C0364" w:rsidTr="000C0364">
        <w:tc>
          <w:tcPr>
            <w:tcW w:w="1555" w:type="dxa"/>
          </w:tcPr>
          <w:p w:rsidR="000C0364" w:rsidRP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SBERF</w:t>
            </w:r>
          </w:p>
        </w:tc>
        <w:tc>
          <w:tcPr>
            <w:tcW w:w="2409" w:type="dxa"/>
          </w:tcPr>
          <w:p w:rsidR="000C0364" w:rsidRP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01.10.2024</w:t>
            </w:r>
          </w:p>
        </w:tc>
        <w:tc>
          <w:tcPr>
            <w:tcW w:w="5381" w:type="dxa"/>
          </w:tcPr>
          <w:p w:rsidR="000C0364" w:rsidRDefault="000C0364" w:rsidP="000C0364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-6146,</w:t>
            </w:r>
            <w:r w:rsidRPr="000C0364">
              <w:rPr>
                <w:rFonts w:cs="Times New Roman"/>
                <w:color w:val="000000" w:themeColor="text1"/>
                <w:szCs w:val="24"/>
              </w:rPr>
              <w:t>24</w:t>
            </w:r>
          </w:p>
        </w:tc>
      </w:tr>
    </w:tbl>
    <w:p w:rsidR="000C0364" w:rsidRDefault="000C0364" w:rsidP="00D410F3">
      <w:pPr>
        <w:rPr>
          <w:rFonts w:cs="Times New Roman"/>
          <w:color w:val="000000" w:themeColor="text1"/>
          <w:szCs w:val="24"/>
        </w:rPr>
      </w:pPr>
    </w:p>
    <w:p w:rsidR="001E2EA1" w:rsidRDefault="000C0364" w:rsidP="001E2EA1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Теперь предположим, что инвестор выбирает альтернативу в виде календарных фьючерсов. Он также удерживает соответствующий фьючерс с момента начала </w:t>
      </w:r>
      <w:r>
        <w:rPr>
          <w:rFonts w:cs="Times New Roman"/>
          <w:color w:val="000000" w:themeColor="text1"/>
          <w:szCs w:val="24"/>
        </w:rPr>
        <w:t xml:space="preserve">обращения </w:t>
      </w:r>
      <w:r>
        <w:rPr>
          <w:rFonts w:cs="Times New Roman"/>
          <w:color w:val="000000" w:themeColor="text1"/>
          <w:szCs w:val="24"/>
        </w:rPr>
        <w:t>вечного анало</w:t>
      </w:r>
      <w:r w:rsidR="001E2EA1">
        <w:rPr>
          <w:rFonts w:cs="Times New Roman"/>
          <w:color w:val="000000" w:themeColor="text1"/>
          <w:szCs w:val="24"/>
        </w:rPr>
        <w:t>га до 30 сентября 2025 года. По мере приближения к дате исполнения текущего фьючерса инвестор выбирает следующий ближайший календарный фьючерс и производит перенос позиции в момент начала его обращения. То есть, альтернатива представляет из себя последовательность удержания позиции в соответствующих календарных фьючерсах:</w:t>
      </w:r>
    </w:p>
    <w:p w:rsidR="001E2EA1" w:rsidRDefault="001E2EA1" w:rsidP="00E062F5">
      <w:pPr>
        <w:pStyle w:val="a4"/>
        <w:numPr>
          <w:ilvl w:val="0"/>
          <w:numId w:val="2"/>
        </w:num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en-US"/>
        </w:rPr>
        <w:t>CNYRUBF</w:t>
      </w:r>
      <w:r w:rsidRPr="00E062F5">
        <w:rPr>
          <w:rFonts w:cs="Times New Roman"/>
          <w:color w:val="000000" w:themeColor="text1"/>
          <w:szCs w:val="24"/>
        </w:rPr>
        <w:t>:</w:t>
      </w:r>
      <w:r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  <w:lang w:val="en-US"/>
        </w:rPr>
        <w:t>CRU</w:t>
      </w:r>
      <w:r w:rsidRPr="00E062F5">
        <w:rPr>
          <w:rFonts w:cs="Times New Roman"/>
          <w:color w:val="000000" w:themeColor="text1"/>
          <w:szCs w:val="24"/>
        </w:rPr>
        <w:t>2 →</w:t>
      </w:r>
      <w:r w:rsidR="00E062F5" w:rsidRPr="00E062F5">
        <w:rPr>
          <w:rFonts w:cs="Times New Roman"/>
          <w:color w:val="000000" w:themeColor="text1"/>
          <w:szCs w:val="24"/>
        </w:rPr>
        <w:t xml:space="preserve"> </w:t>
      </w:r>
      <w:r w:rsidR="00E062F5" w:rsidRPr="00E062F5">
        <w:rPr>
          <w:rFonts w:cs="Times New Roman"/>
          <w:color w:val="000000" w:themeColor="text1"/>
          <w:szCs w:val="24"/>
          <w:lang w:val="en-US"/>
        </w:rPr>
        <w:t>CRM</w:t>
      </w:r>
      <w:r w:rsidR="00E062F5" w:rsidRPr="00E062F5">
        <w:rPr>
          <w:rFonts w:cs="Times New Roman"/>
          <w:color w:val="000000" w:themeColor="text1"/>
          <w:szCs w:val="24"/>
        </w:rPr>
        <w:t xml:space="preserve">3 </w:t>
      </w:r>
      <w:r w:rsidR="00E062F5" w:rsidRPr="00E062F5">
        <w:rPr>
          <w:rFonts w:cs="Times New Roman"/>
          <w:color w:val="000000" w:themeColor="text1"/>
          <w:szCs w:val="24"/>
        </w:rPr>
        <w:t xml:space="preserve">→ </w:t>
      </w:r>
      <w:r w:rsidR="00E062F5" w:rsidRPr="00E062F5">
        <w:rPr>
          <w:rFonts w:cs="Times New Roman"/>
          <w:color w:val="000000" w:themeColor="text1"/>
          <w:szCs w:val="24"/>
          <w:lang w:val="en-US"/>
        </w:rPr>
        <w:t>CRZ</w:t>
      </w:r>
      <w:r w:rsidR="00E062F5" w:rsidRPr="00E062F5">
        <w:rPr>
          <w:rFonts w:cs="Times New Roman"/>
          <w:color w:val="000000" w:themeColor="text1"/>
          <w:szCs w:val="24"/>
        </w:rPr>
        <w:t xml:space="preserve">4 </w:t>
      </w:r>
      <w:r w:rsidR="00E062F5" w:rsidRPr="00E062F5">
        <w:rPr>
          <w:rFonts w:cs="Times New Roman"/>
          <w:color w:val="000000" w:themeColor="text1"/>
          <w:szCs w:val="24"/>
        </w:rPr>
        <w:t xml:space="preserve">→ </w:t>
      </w:r>
      <w:r w:rsidR="00E062F5" w:rsidRPr="00E062F5">
        <w:rPr>
          <w:rFonts w:cs="Times New Roman"/>
          <w:color w:val="000000" w:themeColor="text1"/>
          <w:szCs w:val="24"/>
          <w:lang w:val="en-US"/>
        </w:rPr>
        <w:t>CRZ</w:t>
      </w:r>
      <w:r w:rsidR="00E062F5" w:rsidRPr="00E062F5">
        <w:rPr>
          <w:rFonts w:cs="Times New Roman"/>
          <w:color w:val="000000" w:themeColor="text1"/>
          <w:szCs w:val="24"/>
        </w:rPr>
        <w:t>5</w:t>
      </w:r>
    </w:p>
    <w:p w:rsidR="001E2EA1" w:rsidRPr="00E062F5" w:rsidRDefault="00E062F5" w:rsidP="00E062F5">
      <w:pPr>
        <w:pStyle w:val="a4"/>
        <w:numPr>
          <w:ilvl w:val="0"/>
          <w:numId w:val="2"/>
        </w:num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  <w:lang w:val="en-US"/>
        </w:rPr>
        <w:t>USD</w:t>
      </w:r>
      <w:r>
        <w:rPr>
          <w:rFonts w:cs="Times New Roman"/>
          <w:color w:val="000000" w:themeColor="text1"/>
          <w:szCs w:val="24"/>
          <w:lang w:val="en-US"/>
        </w:rPr>
        <w:t>RUBF</w:t>
      </w:r>
      <w:r w:rsidRPr="00E062F5">
        <w:rPr>
          <w:rFonts w:cs="Times New Roman"/>
          <w:color w:val="000000" w:themeColor="text1"/>
          <w:szCs w:val="24"/>
        </w:rPr>
        <w:t>: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062F5">
        <w:rPr>
          <w:rFonts w:cs="Times New Roman"/>
          <w:color w:val="000000" w:themeColor="text1"/>
          <w:szCs w:val="24"/>
          <w:lang w:val="en-US"/>
        </w:rPr>
        <w:t>SiZ3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062F5">
        <w:rPr>
          <w:rFonts w:cs="Times New Roman"/>
          <w:color w:val="000000" w:themeColor="text1"/>
          <w:szCs w:val="24"/>
        </w:rPr>
        <w:t>→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062F5">
        <w:rPr>
          <w:rFonts w:cs="Times New Roman"/>
          <w:color w:val="000000" w:themeColor="text1"/>
          <w:szCs w:val="24"/>
          <w:lang w:val="en-US"/>
        </w:rPr>
        <w:t>SiZ5</w:t>
      </w:r>
    </w:p>
    <w:p w:rsidR="00E062F5" w:rsidRPr="00EF3F35" w:rsidRDefault="00EF3F35" w:rsidP="00EF3F35">
      <w:pPr>
        <w:pStyle w:val="a4"/>
        <w:numPr>
          <w:ilvl w:val="0"/>
          <w:numId w:val="2"/>
        </w:numPr>
        <w:rPr>
          <w:rFonts w:cs="Times New Roman"/>
          <w:color w:val="000000" w:themeColor="text1"/>
          <w:szCs w:val="24"/>
        </w:rPr>
      </w:pPr>
      <w:r w:rsidRPr="00EF3F35">
        <w:rPr>
          <w:rFonts w:cs="Times New Roman"/>
          <w:color w:val="000000" w:themeColor="text1"/>
          <w:szCs w:val="24"/>
        </w:rPr>
        <w:t>EURRUBF</w:t>
      </w:r>
      <w:r>
        <w:rPr>
          <w:rFonts w:cs="Times New Roman"/>
          <w:color w:val="000000" w:themeColor="text1"/>
          <w:szCs w:val="24"/>
          <w:lang w:val="en-US"/>
        </w:rPr>
        <w:t xml:space="preserve">: </w:t>
      </w:r>
      <w:r w:rsidRPr="00EF3F35">
        <w:rPr>
          <w:rFonts w:cs="Times New Roman"/>
          <w:color w:val="000000" w:themeColor="text1"/>
          <w:szCs w:val="24"/>
          <w:lang w:val="en-US"/>
        </w:rPr>
        <w:t>EuM3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062F5">
        <w:rPr>
          <w:rFonts w:cs="Times New Roman"/>
          <w:color w:val="000000" w:themeColor="text1"/>
          <w:szCs w:val="24"/>
        </w:rPr>
        <w:t>→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F3F35">
        <w:rPr>
          <w:rFonts w:cs="Times New Roman"/>
          <w:color w:val="000000" w:themeColor="text1"/>
          <w:szCs w:val="24"/>
          <w:lang w:val="en-US"/>
        </w:rPr>
        <w:t>EuZ4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062F5">
        <w:rPr>
          <w:rFonts w:cs="Times New Roman"/>
          <w:color w:val="000000" w:themeColor="text1"/>
          <w:szCs w:val="24"/>
        </w:rPr>
        <w:t>→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F3F35">
        <w:rPr>
          <w:rFonts w:cs="Times New Roman"/>
          <w:color w:val="000000" w:themeColor="text1"/>
          <w:szCs w:val="24"/>
          <w:lang w:val="en-US"/>
        </w:rPr>
        <w:t>EuZ5</w:t>
      </w:r>
    </w:p>
    <w:p w:rsidR="00EF3F35" w:rsidRDefault="00EF3F35" w:rsidP="00EF3F35">
      <w:pPr>
        <w:pStyle w:val="a4"/>
        <w:numPr>
          <w:ilvl w:val="0"/>
          <w:numId w:val="2"/>
        </w:numPr>
        <w:rPr>
          <w:rFonts w:cs="Times New Roman"/>
          <w:color w:val="000000" w:themeColor="text1"/>
          <w:szCs w:val="24"/>
        </w:rPr>
      </w:pPr>
      <w:r w:rsidRPr="00EF3F35">
        <w:rPr>
          <w:rFonts w:cs="Times New Roman"/>
          <w:color w:val="000000" w:themeColor="text1"/>
          <w:szCs w:val="24"/>
        </w:rPr>
        <w:t>SBERF</w:t>
      </w:r>
      <w:r>
        <w:rPr>
          <w:rFonts w:cs="Times New Roman"/>
          <w:color w:val="000000" w:themeColor="text1"/>
          <w:szCs w:val="24"/>
          <w:lang w:val="en-US"/>
        </w:rPr>
        <w:t xml:space="preserve">: </w:t>
      </w:r>
      <w:r w:rsidRPr="00EF3F35">
        <w:rPr>
          <w:rFonts w:cs="Times New Roman"/>
          <w:color w:val="000000" w:themeColor="text1"/>
          <w:szCs w:val="24"/>
          <w:lang w:val="en-US"/>
        </w:rPr>
        <w:t>SRM5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062F5">
        <w:rPr>
          <w:rFonts w:cs="Times New Roman"/>
          <w:color w:val="000000" w:themeColor="text1"/>
          <w:szCs w:val="24"/>
        </w:rPr>
        <w:t>→</w:t>
      </w:r>
      <w:r>
        <w:rPr>
          <w:rFonts w:cs="Times New Roman"/>
          <w:color w:val="000000" w:themeColor="text1"/>
          <w:szCs w:val="24"/>
          <w:lang w:val="en-US"/>
        </w:rPr>
        <w:t xml:space="preserve"> </w:t>
      </w:r>
      <w:r w:rsidRPr="00EF3F35">
        <w:rPr>
          <w:rFonts w:cs="Times New Roman"/>
          <w:color w:val="000000" w:themeColor="text1"/>
          <w:szCs w:val="24"/>
          <w:lang w:val="en-US"/>
        </w:rPr>
        <w:t>SRZ5</w:t>
      </w:r>
    </w:p>
    <w:p w:rsidR="00EF3F35" w:rsidRDefault="00EF3F35" w:rsidP="00EF3F35">
      <w:pPr>
        <w:rPr>
          <w:rFonts w:cs="Times New Roman"/>
          <w:color w:val="000000" w:themeColor="text1"/>
          <w:szCs w:val="24"/>
        </w:rPr>
      </w:pPr>
    </w:p>
    <w:p w:rsidR="00EF3F35" w:rsidRDefault="00EF3F35" w:rsidP="00EF3F35">
      <w:pPr>
        <w:rPr>
          <w:rFonts w:cs="Times New Roman"/>
          <w:color w:val="000000" w:themeColor="text1"/>
          <w:szCs w:val="24"/>
        </w:rPr>
      </w:pPr>
      <w:r w:rsidRPr="00EF3F35">
        <w:rPr>
          <w:rFonts w:cs="Times New Roman"/>
          <w:color w:val="000000" w:themeColor="text1"/>
          <w:szCs w:val="24"/>
        </w:rPr>
        <w:t xml:space="preserve">Тогда инвестор </w:t>
      </w:r>
      <w:r>
        <w:rPr>
          <w:rFonts w:cs="Times New Roman"/>
          <w:color w:val="000000" w:themeColor="text1"/>
          <w:szCs w:val="24"/>
        </w:rPr>
        <w:t xml:space="preserve">либо уплачивает (если цена текущего фьючерса меньше следующего), либо зарабатывает </w:t>
      </w:r>
      <w:r>
        <w:rPr>
          <w:rFonts w:cs="Times New Roman"/>
          <w:color w:val="000000" w:themeColor="text1"/>
          <w:szCs w:val="24"/>
        </w:rPr>
        <w:t xml:space="preserve">(если цена текущего фьючерса </w:t>
      </w:r>
      <w:r>
        <w:rPr>
          <w:rFonts w:cs="Times New Roman"/>
          <w:color w:val="000000" w:themeColor="text1"/>
          <w:szCs w:val="24"/>
        </w:rPr>
        <w:t xml:space="preserve">больше </w:t>
      </w:r>
      <w:r>
        <w:rPr>
          <w:rFonts w:cs="Times New Roman"/>
          <w:color w:val="000000" w:themeColor="text1"/>
          <w:szCs w:val="24"/>
        </w:rPr>
        <w:t>следующего)</w:t>
      </w:r>
      <w:r>
        <w:rPr>
          <w:rFonts w:cs="Times New Roman"/>
          <w:color w:val="000000" w:themeColor="text1"/>
          <w:szCs w:val="24"/>
        </w:rPr>
        <w:t xml:space="preserve"> стоимость переноса позиции. </w:t>
      </w:r>
      <w:r>
        <w:rPr>
          <w:rFonts w:cs="Times New Roman"/>
          <w:color w:val="000000" w:themeColor="text1"/>
          <w:szCs w:val="24"/>
        </w:rPr>
        <w:t>Результат за весь пери</w:t>
      </w:r>
      <w:r>
        <w:rPr>
          <w:rFonts w:cs="Times New Roman"/>
          <w:color w:val="000000" w:themeColor="text1"/>
          <w:szCs w:val="24"/>
        </w:rPr>
        <w:t>од будет равен суммарной исторической стоимости переноса</w:t>
      </w:r>
      <w:r>
        <w:rPr>
          <w:rFonts w:cs="Times New Roman"/>
          <w:color w:val="000000" w:themeColor="text1"/>
          <w:szCs w:val="24"/>
        </w:rPr>
        <w:t>.</w:t>
      </w:r>
    </w:p>
    <w:p w:rsidR="00EF3F35" w:rsidRDefault="00EF3F35" w:rsidP="00EF3F35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Доходы и расходы от удержания </w:t>
      </w:r>
      <w:r>
        <w:rPr>
          <w:rFonts w:cs="Times New Roman"/>
          <w:color w:val="000000" w:themeColor="text1"/>
          <w:szCs w:val="24"/>
        </w:rPr>
        <w:t>календарного</w:t>
      </w:r>
      <w:r>
        <w:rPr>
          <w:rFonts w:cs="Times New Roman"/>
          <w:color w:val="000000" w:themeColor="text1"/>
          <w:szCs w:val="24"/>
        </w:rPr>
        <w:t xml:space="preserve"> фьючерса: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12"/>
        <w:gridCol w:w="2287"/>
        <w:gridCol w:w="4946"/>
      </w:tblGrid>
      <w:tr w:rsidR="00EF3F35" w:rsidTr="009D3A69">
        <w:tc>
          <w:tcPr>
            <w:tcW w:w="1555" w:type="dxa"/>
          </w:tcPr>
          <w:p w:rsidR="00EF3F35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Соответствующий</w:t>
            </w:r>
          </w:p>
          <w:p w:rsidR="00EF3F35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Вечный фьючерс</w:t>
            </w:r>
          </w:p>
        </w:tc>
        <w:tc>
          <w:tcPr>
            <w:tcW w:w="2409" w:type="dxa"/>
          </w:tcPr>
          <w:p w:rsidR="00EF3F35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Начало обращения</w:t>
            </w:r>
          </w:p>
        </w:tc>
        <w:tc>
          <w:tcPr>
            <w:tcW w:w="5381" w:type="dxa"/>
          </w:tcPr>
          <w:p w:rsidR="00EF3F35" w:rsidRPr="00EF3F35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Суммарная стоимость переноса позиции по календарным фьючерсам</w:t>
            </w:r>
          </w:p>
          <w:p w:rsidR="00EF3F35" w:rsidRDefault="00EF3F35" w:rsidP="00EF3F35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(в руб. с учетом </w:t>
            </w:r>
            <w:proofErr w:type="spellStart"/>
            <w:r>
              <w:rPr>
                <w:rFonts w:cs="Times New Roman"/>
                <w:color w:val="000000" w:themeColor="text1"/>
                <w:szCs w:val="24"/>
              </w:rPr>
              <w:t>лотности</w:t>
            </w:r>
            <w:proofErr w:type="spellEnd"/>
            <w:r>
              <w:rPr>
                <w:rFonts w:cs="Times New Roman"/>
                <w:color w:val="000000" w:themeColor="text1"/>
                <w:szCs w:val="24"/>
              </w:rPr>
              <w:t xml:space="preserve"> контракт</w:t>
            </w:r>
            <w:r>
              <w:rPr>
                <w:rFonts w:cs="Times New Roman"/>
                <w:color w:val="000000" w:themeColor="text1"/>
                <w:szCs w:val="24"/>
              </w:rPr>
              <w:t>ов</w:t>
            </w:r>
            <w:r>
              <w:rPr>
                <w:rFonts w:cs="Times New Roman"/>
                <w:color w:val="000000" w:themeColor="text1"/>
                <w:szCs w:val="24"/>
              </w:rPr>
              <w:t>)</w:t>
            </w:r>
          </w:p>
        </w:tc>
      </w:tr>
      <w:tr w:rsidR="00EF3F35" w:rsidRPr="000C0364" w:rsidTr="009D3A69">
        <w:tc>
          <w:tcPr>
            <w:tcW w:w="1555" w:type="dxa"/>
          </w:tcPr>
          <w:p w:rsidR="00EF3F35" w:rsidRPr="000C0364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CNYRUBF</w:t>
            </w:r>
          </w:p>
        </w:tc>
        <w:tc>
          <w:tcPr>
            <w:tcW w:w="2409" w:type="dxa"/>
          </w:tcPr>
          <w:p w:rsidR="00EF3F35" w:rsidRPr="000C0364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EF3F35" w:rsidRPr="000C0364" w:rsidRDefault="007B31F0" w:rsidP="007B31F0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-3821,</w:t>
            </w:r>
            <w:r w:rsidRPr="007B31F0">
              <w:rPr>
                <w:rFonts w:cs="Times New Roman"/>
                <w:color w:val="000000" w:themeColor="text1"/>
                <w:szCs w:val="24"/>
                <w:lang w:val="en-US"/>
              </w:rPr>
              <w:t>9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7</w:t>
            </w:r>
          </w:p>
        </w:tc>
      </w:tr>
      <w:tr w:rsidR="00EF3F35" w:rsidRPr="000C0364" w:rsidTr="009D3A69">
        <w:tc>
          <w:tcPr>
            <w:tcW w:w="1555" w:type="dxa"/>
          </w:tcPr>
          <w:p w:rsidR="00EF3F35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USDRUBF</w:t>
            </w:r>
          </w:p>
        </w:tc>
        <w:tc>
          <w:tcPr>
            <w:tcW w:w="2409" w:type="dxa"/>
          </w:tcPr>
          <w:p w:rsidR="00EF3F35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EF3F35" w:rsidRPr="007B31F0" w:rsidRDefault="007B31F0" w:rsidP="007B31F0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-13716,</w:t>
            </w:r>
            <w:r w:rsidRPr="007B31F0">
              <w:rPr>
                <w:rFonts w:cs="Times New Roman"/>
                <w:color w:val="000000" w:themeColor="text1"/>
                <w:szCs w:val="24"/>
              </w:rPr>
              <w:t>0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3</w:t>
            </w:r>
          </w:p>
        </w:tc>
      </w:tr>
      <w:tr w:rsidR="00EF3F35" w:rsidTr="009D3A69">
        <w:tc>
          <w:tcPr>
            <w:tcW w:w="1555" w:type="dxa"/>
          </w:tcPr>
          <w:p w:rsidR="00EF3F35" w:rsidRDefault="00AD6182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EURRUBF</w:t>
            </w:r>
          </w:p>
        </w:tc>
        <w:tc>
          <w:tcPr>
            <w:tcW w:w="2409" w:type="dxa"/>
          </w:tcPr>
          <w:p w:rsidR="00EF3F35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EF3F35" w:rsidRPr="007B31F0" w:rsidRDefault="007B31F0" w:rsidP="007B31F0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 w:rsidRPr="007B31F0">
              <w:rPr>
                <w:rFonts w:cs="Times New Roman"/>
                <w:color w:val="000000" w:themeColor="text1"/>
                <w:szCs w:val="24"/>
              </w:rPr>
              <w:t>-1448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2,02</w:t>
            </w:r>
          </w:p>
        </w:tc>
      </w:tr>
      <w:tr w:rsidR="00EF3F35" w:rsidTr="009D3A69">
        <w:tc>
          <w:tcPr>
            <w:tcW w:w="1555" w:type="dxa"/>
          </w:tcPr>
          <w:p w:rsidR="00EF3F35" w:rsidRPr="000C0364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SBERF</w:t>
            </w:r>
          </w:p>
        </w:tc>
        <w:tc>
          <w:tcPr>
            <w:tcW w:w="2409" w:type="dxa"/>
          </w:tcPr>
          <w:p w:rsidR="00EF3F35" w:rsidRPr="000C0364" w:rsidRDefault="00EF3F35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01.10.2024</w:t>
            </w:r>
          </w:p>
        </w:tc>
        <w:tc>
          <w:tcPr>
            <w:tcW w:w="5381" w:type="dxa"/>
          </w:tcPr>
          <w:p w:rsidR="00EF3F35" w:rsidRPr="007B31F0" w:rsidRDefault="007B31F0" w:rsidP="007B31F0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739,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89</w:t>
            </w:r>
          </w:p>
        </w:tc>
      </w:tr>
    </w:tbl>
    <w:p w:rsidR="00AD6182" w:rsidRDefault="00AD6182" w:rsidP="00EF3F35">
      <w:pPr>
        <w:rPr>
          <w:rFonts w:cs="Times New Roman"/>
          <w:color w:val="000000" w:themeColor="text1"/>
          <w:szCs w:val="24"/>
        </w:rPr>
      </w:pPr>
    </w:p>
    <w:p w:rsidR="00AD6182" w:rsidRDefault="00AD6182" w:rsidP="00EF3F35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lastRenderedPageBreak/>
        <w:t xml:space="preserve">Выходит, что для инвестора предпочтительнее удерживать вечный фьючерс для валютной пары </w:t>
      </w:r>
      <w:r>
        <w:rPr>
          <w:rFonts w:cs="Times New Roman"/>
          <w:color w:val="000000" w:themeColor="text1"/>
          <w:szCs w:val="24"/>
          <w:lang w:val="en-US"/>
        </w:rPr>
        <w:t>CNYRUB</w:t>
      </w:r>
      <w:r w:rsidRPr="00AD6182">
        <w:rPr>
          <w:rFonts w:cs="Times New Roman"/>
          <w:color w:val="000000" w:themeColor="text1"/>
          <w:szCs w:val="24"/>
        </w:rPr>
        <w:t xml:space="preserve"> и </w:t>
      </w:r>
      <w:r>
        <w:rPr>
          <w:rFonts w:cs="Times New Roman"/>
          <w:color w:val="000000" w:themeColor="text1"/>
          <w:szCs w:val="24"/>
          <w:lang w:val="en-US"/>
        </w:rPr>
        <w:t>EURRUB</w:t>
      </w:r>
      <w:r w:rsidRPr="00AD6182">
        <w:rPr>
          <w:rFonts w:cs="Times New Roman"/>
          <w:color w:val="000000" w:themeColor="text1"/>
          <w:szCs w:val="24"/>
        </w:rPr>
        <w:t xml:space="preserve">, </w:t>
      </w:r>
      <w:r>
        <w:rPr>
          <w:rFonts w:cs="Times New Roman"/>
          <w:color w:val="000000" w:themeColor="text1"/>
          <w:szCs w:val="24"/>
        </w:rPr>
        <w:t xml:space="preserve">а для </w:t>
      </w:r>
      <w:r>
        <w:rPr>
          <w:rFonts w:cs="Times New Roman"/>
          <w:color w:val="000000" w:themeColor="text1"/>
          <w:szCs w:val="24"/>
        </w:rPr>
        <w:t xml:space="preserve">валютной пары </w:t>
      </w:r>
      <w:r>
        <w:rPr>
          <w:rFonts w:cs="Times New Roman"/>
          <w:color w:val="000000" w:themeColor="text1"/>
          <w:szCs w:val="24"/>
          <w:lang w:val="en-US"/>
        </w:rPr>
        <w:t>USD</w:t>
      </w:r>
      <w:r>
        <w:rPr>
          <w:rFonts w:cs="Times New Roman"/>
          <w:color w:val="000000" w:themeColor="text1"/>
          <w:szCs w:val="24"/>
          <w:lang w:val="en-US"/>
        </w:rPr>
        <w:t>RUB</w:t>
      </w:r>
      <w:r w:rsidRPr="00AD6182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 xml:space="preserve">и обыкновенной акции </w:t>
      </w:r>
      <w:r>
        <w:rPr>
          <w:rFonts w:cs="Times New Roman"/>
          <w:color w:val="000000" w:themeColor="text1"/>
          <w:szCs w:val="24"/>
          <w:lang w:val="en-US"/>
        </w:rPr>
        <w:t>SBER</w:t>
      </w:r>
      <w:r w:rsidRPr="00AD6182">
        <w:rPr>
          <w:rFonts w:cs="Times New Roman"/>
          <w:color w:val="000000" w:themeColor="text1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предпочтительнее совершать переносы позиции в календарных фьючерсах.</w:t>
      </w:r>
    </w:p>
    <w:p w:rsidR="00AD6182" w:rsidRDefault="00AD6182" w:rsidP="00EF3F35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Однако, </w:t>
      </w:r>
      <w:proofErr w:type="spellStart"/>
      <w:r>
        <w:rPr>
          <w:rFonts w:cs="Times New Roman"/>
          <w:color w:val="000000" w:themeColor="text1"/>
          <w:szCs w:val="24"/>
        </w:rPr>
        <w:t>фандинг</w:t>
      </w:r>
      <w:proofErr w:type="spellEnd"/>
      <w:r>
        <w:rPr>
          <w:rFonts w:cs="Times New Roman"/>
          <w:color w:val="000000" w:themeColor="text1"/>
          <w:szCs w:val="24"/>
        </w:rPr>
        <w:t xml:space="preserve"> можно и не платить, перекрыв позицию по вечному фьючерсу до вечернего клиринга.</w:t>
      </w:r>
    </w:p>
    <w:p w:rsidR="00AD6182" w:rsidRDefault="00AD6182" w:rsidP="00EF3F35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Пусть инвестор удерживает длинную позицию в размере одного контракта в вечном фьючерсе. По мере приближения </w:t>
      </w:r>
      <w:r w:rsidR="005E7E36">
        <w:rPr>
          <w:rFonts w:cs="Times New Roman"/>
          <w:color w:val="000000" w:themeColor="text1"/>
          <w:szCs w:val="24"/>
        </w:rPr>
        <w:t>к вечернему клирингу</w:t>
      </w:r>
      <w:r>
        <w:rPr>
          <w:rFonts w:cs="Times New Roman"/>
          <w:color w:val="000000" w:themeColor="text1"/>
          <w:szCs w:val="24"/>
        </w:rPr>
        <w:t xml:space="preserve"> на бирже (18:50) инвестор на основании сложившейся </w:t>
      </w:r>
      <w:r w:rsidR="005E7E36">
        <w:rPr>
          <w:rFonts w:cs="Times New Roman"/>
          <w:color w:val="000000" w:themeColor="text1"/>
          <w:szCs w:val="24"/>
        </w:rPr>
        <w:t xml:space="preserve">рыночной конъюнктуры делает вывод о знаке </w:t>
      </w:r>
      <w:proofErr w:type="spellStart"/>
      <w:r w:rsidR="005E7E36">
        <w:rPr>
          <w:rFonts w:cs="Times New Roman"/>
          <w:color w:val="000000" w:themeColor="text1"/>
          <w:szCs w:val="24"/>
        </w:rPr>
        <w:t>фандинга</w:t>
      </w:r>
      <w:proofErr w:type="spellEnd"/>
      <w:r w:rsidR="005E7E36">
        <w:rPr>
          <w:rFonts w:cs="Times New Roman"/>
          <w:color w:val="000000" w:themeColor="text1"/>
          <w:szCs w:val="24"/>
        </w:rPr>
        <w:t xml:space="preserve">. Если </w:t>
      </w:r>
      <w:proofErr w:type="spellStart"/>
      <w:r w:rsidR="005E7E36">
        <w:rPr>
          <w:rFonts w:cs="Times New Roman"/>
          <w:color w:val="000000" w:themeColor="text1"/>
          <w:szCs w:val="24"/>
        </w:rPr>
        <w:t>фандинг</w:t>
      </w:r>
      <w:proofErr w:type="spellEnd"/>
      <w:r w:rsidR="005E7E36">
        <w:rPr>
          <w:rFonts w:cs="Times New Roman"/>
          <w:color w:val="000000" w:themeColor="text1"/>
          <w:szCs w:val="24"/>
        </w:rPr>
        <w:t xml:space="preserve"> отрицательный (в пользу инвестора), то позиция не меняется, и инвестор зарабатывает </w:t>
      </w:r>
      <w:proofErr w:type="spellStart"/>
      <w:r w:rsidR="005E7E36">
        <w:rPr>
          <w:rFonts w:cs="Times New Roman"/>
          <w:color w:val="000000" w:themeColor="text1"/>
          <w:szCs w:val="24"/>
        </w:rPr>
        <w:t>фандинг</w:t>
      </w:r>
      <w:proofErr w:type="spellEnd"/>
      <w:r w:rsidR="005E7E36">
        <w:rPr>
          <w:rFonts w:cs="Times New Roman"/>
          <w:color w:val="000000" w:themeColor="text1"/>
          <w:szCs w:val="24"/>
        </w:rPr>
        <w:t xml:space="preserve">. Если же положительный, то инвестор перекрывает длинную позицию по вечному фьючерсу по цене близкой к цене закрытия основной торговой сессии (в предположении, что рыночная ликвидность позволяет ему это сделать) и снова открывает длинную позицию утром следующего дня, в момент начала торгов. Соответственно, инвестор уплачивает (если вечерняя цена меньше утренней) или зарабатывает </w:t>
      </w:r>
      <w:r w:rsidR="005E7E36">
        <w:rPr>
          <w:rFonts w:cs="Times New Roman"/>
          <w:color w:val="000000" w:themeColor="text1"/>
          <w:szCs w:val="24"/>
        </w:rPr>
        <w:t xml:space="preserve">(если вечерняя цена </w:t>
      </w:r>
      <w:r w:rsidR="005E7E36">
        <w:rPr>
          <w:rFonts w:cs="Times New Roman"/>
          <w:color w:val="000000" w:themeColor="text1"/>
          <w:szCs w:val="24"/>
        </w:rPr>
        <w:t xml:space="preserve">больше </w:t>
      </w:r>
      <w:r w:rsidR="005E7E36">
        <w:rPr>
          <w:rFonts w:cs="Times New Roman"/>
          <w:color w:val="000000" w:themeColor="text1"/>
          <w:szCs w:val="24"/>
        </w:rPr>
        <w:t>утренней)</w:t>
      </w:r>
      <w:r w:rsidR="005E7E36">
        <w:rPr>
          <w:rFonts w:cs="Times New Roman"/>
          <w:color w:val="000000" w:themeColor="text1"/>
          <w:szCs w:val="24"/>
        </w:rPr>
        <w:t xml:space="preserve"> стоимость переноса позиции в вечном фьючерсе. </w:t>
      </w:r>
      <w:r w:rsidR="005E7E36">
        <w:rPr>
          <w:rFonts w:cs="Times New Roman"/>
          <w:color w:val="000000" w:themeColor="text1"/>
          <w:szCs w:val="24"/>
        </w:rPr>
        <w:t>Результат за весь период будет равен суммарно</w:t>
      </w:r>
      <w:r w:rsidR="005E7E36">
        <w:rPr>
          <w:rFonts w:cs="Times New Roman"/>
          <w:color w:val="000000" w:themeColor="text1"/>
          <w:szCs w:val="24"/>
        </w:rPr>
        <w:t xml:space="preserve">му заработанному историческому </w:t>
      </w:r>
      <w:proofErr w:type="spellStart"/>
      <w:r w:rsidR="005E7E36">
        <w:rPr>
          <w:rFonts w:cs="Times New Roman"/>
          <w:color w:val="000000" w:themeColor="text1"/>
          <w:szCs w:val="24"/>
        </w:rPr>
        <w:t>фандингу</w:t>
      </w:r>
      <w:proofErr w:type="spellEnd"/>
      <w:r w:rsidR="005E7E36">
        <w:rPr>
          <w:rFonts w:cs="Times New Roman"/>
          <w:color w:val="000000" w:themeColor="text1"/>
          <w:szCs w:val="24"/>
        </w:rPr>
        <w:t xml:space="preserve"> и суммарной реализованной стоимости переноса позици</w:t>
      </w:r>
      <w:r w:rsidR="005D0B46">
        <w:rPr>
          <w:rFonts w:cs="Times New Roman"/>
          <w:color w:val="000000" w:themeColor="text1"/>
          <w:szCs w:val="24"/>
        </w:rPr>
        <w:t>и</w:t>
      </w:r>
      <w:r w:rsidR="005E7E36">
        <w:rPr>
          <w:rFonts w:cs="Times New Roman"/>
          <w:color w:val="000000" w:themeColor="text1"/>
          <w:szCs w:val="24"/>
        </w:rPr>
        <w:t>.</w:t>
      </w:r>
      <w:r w:rsidR="005E7E36">
        <w:rPr>
          <w:rFonts w:cs="Times New Roman"/>
          <w:color w:val="000000" w:themeColor="text1"/>
          <w:szCs w:val="24"/>
        </w:rPr>
        <w:t xml:space="preserve"> Назовем данный подход комбинированным.</w:t>
      </w:r>
    </w:p>
    <w:p w:rsidR="005E7E36" w:rsidRDefault="005E7E36" w:rsidP="005E7E36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Доходы и расходы от </w:t>
      </w:r>
      <w:r>
        <w:rPr>
          <w:rFonts w:cs="Times New Roman"/>
          <w:color w:val="000000" w:themeColor="text1"/>
          <w:szCs w:val="24"/>
        </w:rPr>
        <w:t>комбинированного удержания вечного фьючерса</w:t>
      </w:r>
      <w:r>
        <w:rPr>
          <w:rFonts w:cs="Times New Roman"/>
          <w:color w:val="000000" w:themeColor="text1"/>
          <w:szCs w:val="24"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2409"/>
        <w:gridCol w:w="5381"/>
      </w:tblGrid>
      <w:tr w:rsidR="005E7E36" w:rsidTr="009D3A69">
        <w:tc>
          <w:tcPr>
            <w:tcW w:w="1555" w:type="dxa"/>
          </w:tcPr>
          <w:p w:rsidR="005E7E36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Ф</w:t>
            </w:r>
            <w:r>
              <w:rPr>
                <w:rFonts w:cs="Times New Roman"/>
                <w:color w:val="000000" w:themeColor="text1"/>
                <w:szCs w:val="24"/>
              </w:rPr>
              <w:t>ьючерс</w:t>
            </w:r>
          </w:p>
        </w:tc>
        <w:tc>
          <w:tcPr>
            <w:tcW w:w="2409" w:type="dxa"/>
          </w:tcPr>
          <w:p w:rsidR="005E7E36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Начало обращения</w:t>
            </w:r>
          </w:p>
        </w:tc>
        <w:tc>
          <w:tcPr>
            <w:tcW w:w="5381" w:type="dxa"/>
          </w:tcPr>
          <w:p w:rsidR="005E7E36" w:rsidRPr="005E7E36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Суммарная стоимость переноса позиции по </w:t>
            </w:r>
            <w:r>
              <w:rPr>
                <w:rFonts w:cs="Times New Roman"/>
                <w:color w:val="000000" w:themeColor="text1"/>
                <w:szCs w:val="24"/>
              </w:rPr>
              <w:t xml:space="preserve">вечному фьючерсу + суммарный заработанный </w:t>
            </w:r>
            <w:proofErr w:type="spellStart"/>
            <w:r>
              <w:rPr>
                <w:rFonts w:cs="Times New Roman"/>
                <w:color w:val="000000" w:themeColor="text1"/>
                <w:szCs w:val="24"/>
              </w:rPr>
              <w:t>фандинг</w:t>
            </w:r>
            <w:proofErr w:type="spellEnd"/>
          </w:p>
          <w:p w:rsidR="005E7E36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 xml:space="preserve">(в руб. с учетом </w:t>
            </w:r>
            <w:proofErr w:type="spellStart"/>
            <w:r>
              <w:rPr>
                <w:rFonts w:cs="Times New Roman"/>
                <w:color w:val="000000" w:themeColor="text1"/>
                <w:szCs w:val="24"/>
              </w:rPr>
              <w:t>лотности</w:t>
            </w:r>
            <w:proofErr w:type="spellEnd"/>
            <w:r>
              <w:rPr>
                <w:rFonts w:cs="Times New Roman"/>
                <w:color w:val="000000" w:themeColor="text1"/>
                <w:szCs w:val="24"/>
              </w:rPr>
              <w:t xml:space="preserve"> контракт</w:t>
            </w:r>
            <w:r w:rsidR="009770CF">
              <w:rPr>
                <w:rFonts w:cs="Times New Roman"/>
                <w:color w:val="000000" w:themeColor="text1"/>
                <w:szCs w:val="24"/>
              </w:rPr>
              <w:t>а</w:t>
            </w:r>
            <w:r>
              <w:rPr>
                <w:rFonts w:cs="Times New Roman"/>
                <w:color w:val="000000" w:themeColor="text1"/>
                <w:szCs w:val="24"/>
              </w:rPr>
              <w:t>)</w:t>
            </w:r>
          </w:p>
        </w:tc>
      </w:tr>
      <w:tr w:rsidR="005E7E36" w:rsidRPr="000C0364" w:rsidTr="009D3A69">
        <w:tc>
          <w:tcPr>
            <w:tcW w:w="1555" w:type="dxa"/>
          </w:tcPr>
          <w:p w:rsidR="005E7E36" w:rsidRPr="000C0364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CNYRUBF</w:t>
            </w:r>
          </w:p>
        </w:tc>
        <w:tc>
          <w:tcPr>
            <w:tcW w:w="2409" w:type="dxa"/>
          </w:tcPr>
          <w:p w:rsidR="005E7E36" w:rsidRPr="000C0364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5E7E36" w:rsidRPr="000C0364" w:rsidRDefault="005D0B4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2551,</w:t>
            </w:r>
            <w:r w:rsidRPr="005D0B46">
              <w:rPr>
                <w:rFonts w:cs="Times New Roman"/>
                <w:color w:val="000000" w:themeColor="text1"/>
                <w:szCs w:val="24"/>
                <w:lang w:val="en-US"/>
              </w:rPr>
              <w:t>31</w:t>
            </w:r>
          </w:p>
        </w:tc>
      </w:tr>
      <w:tr w:rsidR="005E7E36" w:rsidRPr="007B31F0" w:rsidTr="009D3A69">
        <w:tc>
          <w:tcPr>
            <w:tcW w:w="1555" w:type="dxa"/>
          </w:tcPr>
          <w:p w:rsidR="005E7E36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USDRUBF</w:t>
            </w:r>
          </w:p>
        </w:tc>
        <w:tc>
          <w:tcPr>
            <w:tcW w:w="2409" w:type="dxa"/>
          </w:tcPr>
          <w:p w:rsidR="005E7E36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5E7E36" w:rsidRPr="005D0B46" w:rsidRDefault="005D0B4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1079,</w:t>
            </w:r>
            <w:r w:rsidRPr="005D0B46">
              <w:rPr>
                <w:rFonts w:cs="Times New Roman"/>
                <w:color w:val="000000" w:themeColor="text1"/>
                <w:szCs w:val="24"/>
              </w:rPr>
              <w:t>3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0</w:t>
            </w:r>
          </w:p>
        </w:tc>
      </w:tr>
      <w:tr w:rsidR="005E7E36" w:rsidRPr="007B31F0" w:rsidTr="009D3A69">
        <w:tc>
          <w:tcPr>
            <w:tcW w:w="1555" w:type="dxa"/>
          </w:tcPr>
          <w:p w:rsidR="005E7E36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EURRUBF</w:t>
            </w:r>
          </w:p>
        </w:tc>
        <w:tc>
          <w:tcPr>
            <w:tcW w:w="2409" w:type="dxa"/>
          </w:tcPr>
          <w:p w:rsidR="005E7E36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26.04.2022</w:t>
            </w:r>
          </w:p>
        </w:tc>
        <w:tc>
          <w:tcPr>
            <w:tcW w:w="5381" w:type="dxa"/>
          </w:tcPr>
          <w:p w:rsidR="005E7E36" w:rsidRPr="007B31F0" w:rsidRDefault="005D0B4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21097,</w:t>
            </w:r>
            <w:r w:rsidRPr="005D0B46">
              <w:rPr>
                <w:rFonts w:cs="Times New Roman"/>
                <w:color w:val="000000" w:themeColor="text1"/>
                <w:szCs w:val="24"/>
              </w:rPr>
              <w:t>05</w:t>
            </w:r>
          </w:p>
        </w:tc>
      </w:tr>
      <w:tr w:rsidR="005E7E36" w:rsidRPr="007B31F0" w:rsidTr="009D3A69">
        <w:tc>
          <w:tcPr>
            <w:tcW w:w="1555" w:type="dxa"/>
          </w:tcPr>
          <w:p w:rsidR="005E7E36" w:rsidRPr="000C0364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>
              <w:rPr>
                <w:rFonts w:cs="Times New Roman"/>
                <w:color w:val="000000" w:themeColor="text1"/>
                <w:szCs w:val="24"/>
                <w:lang w:val="en-US"/>
              </w:rPr>
              <w:t>SBERF</w:t>
            </w:r>
          </w:p>
        </w:tc>
        <w:tc>
          <w:tcPr>
            <w:tcW w:w="2409" w:type="dxa"/>
          </w:tcPr>
          <w:p w:rsidR="005E7E36" w:rsidRPr="000C0364" w:rsidRDefault="005E7E3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</w:rPr>
            </w:pPr>
            <w:r w:rsidRPr="000C0364">
              <w:rPr>
                <w:rFonts w:cs="Times New Roman"/>
                <w:color w:val="000000" w:themeColor="text1"/>
                <w:szCs w:val="24"/>
              </w:rPr>
              <w:t>01.10.2024</w:t>
            </w:r>
          </w:p>
        </w:tc>
        <w:tc>
          <w:tcPr>
            <w:tcW w:w="5381" w:type="dxa"/>
          </w:tcPr>
          <w:p w:rsidR="005E7E36" w:rsidRPr="005D0B46" w:rsidRDefault="005D0B46" w:rsidP="009D3A69">
            <w:pPr>
              <w:ind w:firstLine="0"/>
              <w:jc w:val="center"/>
              <w:rPr>
                <w:rFonts w:cs="Times New Roman"/>
                <w:color w:val="000000" w:themeColor="text1"/>
                <w:szCs w:val="24"/>
                <w:lang w:val="en-US"/>
              </w:rPr>
            </w:pPr>
            <w:r>
              <w:rPr>
                <w:rFonts w:cs="Times New Roman"/>
                <w:color w:val="000000" w:themeColor="text1"/>
                <w:szCs w:val="24"/>
              </w:rPr>
              <w:t>-2230,</w:t>
            </w:r>
            <w:r w:rsidRPr="005D0B46">
              <w:rPr>
                <w:rFonts w:cs="Times New Roman"/>
                <w:color w:val="000000" w:themeColor="text1"/>
                <w:szCs w:val="24"/>
              </w:rPr>
              <w:t>0</w:t>
            </w:r>
            <w:r>
              <w:rPr>
                <w:rFonts w:cs="Times New Roman"/>
                <w:color w:val="000000" w:themeColor="text1"/>
                <w:szCs w:val="24"/>
                <w:lang w:val="en-US"/>
              </w:rPr>
              <w:t>0</w:t>
            </w:r>
          </w:p>
        </w:tc>
      </w:tr>
    </w:tbl>
    <w:p w:rsidR="009770CF" w:rsidRDefault="009770CF" w:rsidP="009770CF">
      <w:pPr>
        <w:rPr>
          <w:rFonts w:cs="Times New Roman"/>
          <w:color w:val="000000" w:themeColor="text1"/>
          <w:szCs w:val="24"/>
        </w:rPr>
      </w:pPr>
    </w:p>
    <w:p w:rsidR="00EF3F35" w:rsidRDefault="009770CF" w:rsidP="009770CF">
      <w:pPr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t xml:space="preserve">Комбинированный подход исторически приводит валютные фьючерсы к доходу с точки зрения затрат на </w:t>
      </w:r>
      <w:proofErr w:type="spellStart"/>
      <w:r>
        <w:rPr>
          <w:rFonts w:cs="Times New Roman"/>
          <w:color w:val="000000" w:themeColor="text1"/>
          <w:szCs w:val="24"/>
        </w:rPr>
        <w:t>фандинг</w:t>
      </w:r>
      <w:proofErr w:type="spellEnd"/>
      <w:r>
        <w:rPr>
          <w:rFonts w:cs="Times New Roman"/>
          <w:color w:val="000000" w:themeColor="text1"/>
          <w:szCs w:val="24"/>
        </w:rPr>
        <w:t xml:space="preserve">. Однако, с вечным фьючерсом на обыкновенные акции такого эффекта не наблюдается. </w:t>
      </w:r>
      <w:bookmarkStart w:id="0" w:name="_GoBack"/>
      <w:bookmarkEnd w:id="0"/>
    </w:p>
    <w:p w:rsidR="00EF3F35" w:rsidRPr="00EF3F35" w:rsidRDefault="00EF3F35" w:rsidP="00EF3F35">
      <w:pPr>
        <w:rPr>
          <w:rFonts w:cs="Times New Roman"/>
          <w:color w:val="000000" w:themeColor="text1"/>
          <w:szCs w:val="24"/>
        </w:rPr>
      </w:pPr>
    </w:p>
    <w:sectPr w:rsidR="00EF3F35" w:rsidRPr="00EF3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3006B"/>
    <w:multiLevelType w:val="hybridMultilevel"/>
    <w:tmpl w:val="89B688F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7B7624E9"/>
    <w:multiLevelType w:val="hybridMultilevel"/>
    <w:tmpl w:val="4F6684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D1D"/>
    <w:rsid w:val="0008799F"/>
    <w:rsid w:val="000C0364"/>
    <w:rsid w:val="000C41B7"/>
    <w:rsid w:val="001479BF"/>
    <w:rsid w:val="001E2EA1"/>
    <w:rsid w:val="005D0B46"/>
    <w:rsid w:val="005E7E36"/>
    <w:rsid w:val="007B31F0"/>
    <w:rsid w:val="0090669F"/>
    <w:rsid w:val="009770CF"/>
    <w:rsid w:val="00AD6182"/>
    <w:rsid w:val="00B35D1D"/>
    <w:rsid w:val="00D410F3"/>
    <w:rsid w:val="00E062F5"/>
    <w:rsid w:val="00EF3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C7321"/>
  <w15:chartTrackingRefBased/>
  <w15:docId w15:val="{D9182726-0A45-4B10-BF9C-E8237262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E3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479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1E2E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3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2025-11-30T12:07:00Z</dcterms:created>
  <dcterms:modified xsi:type="dcterms:W3CDTF">2025-11-30T14:11:00Z</dcterms:modified>
</cp:coreProperties>
</file>