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43C6" w14:textId="77777777" w:rsidR="007716C2" w:rsidRDefault="00000000">
      <w:pPr>
        <w:spacing w:after="120"/>
      </w:pPr>
      <w:r>
        <w:rPr>
          <w:b/>
          <w:bCs/>
          <w:sz w:val="32"/>
          <w:szCs w:val="32"/>
        </w:rPr>
        <w:t>Sprint 3 Deferrals and WONT-DO Memo</w:t>
      </w:r>
    </w:p>
    <w:p w14:paraId="2B31D1C1" w14:textId="77777777" w:rsidR="007716C2" w:rsidRDefault="00000000">
      <w:pPr>
        <w:spacing w:after="240"/>
      </w:pPr>
      <w:proofErr w:type="spellStart"/>
      <w:r>
        <w:rPr>
          <w:i/>
          <w:iCs/>
          <w:color w:val="555555"/>
        </w:rPr>
        <w:t>GuestIQ</w:t>
      </w:r>
      <w:proofErr w:type="spellEnd"/>
      <w:r>
        <w:rPr>
          <w:i/>
          <w:iCs/>
          <w:color w:val="555555"/>
        </w:rPr>
        <w:t xml:space="preserve"> — Formal record of S3-14, S3-16, S3-17 outcomes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716C2" w14:paraId="702D65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B640" w14:textId="77777777" w:rsidR="007716C2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4869F" w14:textId="77777777" w:rsidR="007716C2" w:rsidRDefault="00000000">
            <w:r>
              <w:t>Sprint 3</w:t>
            </w:r>
          </w:p>
        </w:tc>
      </w:tr>
      <w:tr w:rsidR="007716C2" w14:paraId="688050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234A" w14:textId="77777777" w:rsidR="007716C2" w:rsidRDefault="00000000">
            <w:r>
              <w:rPr>
                <w:b/>
                <w:bCs/>
              </w:rPr>
              <w:t>Items Covered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9822" w14:textId="77777777" w:rsidR="007716C2" w:rsidRDefault="00000000">
            <w:r>
              <w:t>S3-14 (WONT-DO), S3-16 (WONT-DO), S3-17 (DEFERRED)</w:t>
            </w:r>
          </w:p>
        </w:tc>
      </w:tr>
      <w:tr w:rsidR="007716C2" w14:paraId="131982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C906" w14:textId="77777777" w:rsidR="007716C2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9FC7" w14:textId="77777777" w:rsidR="007716C2" w:rsidRDefault="00000000">
            <w:r>
              <w:t>31 May 2026</w:t>
            </w:r>
          </w:p>
        </w:tc>
      </w:tr>
    </w:tbl>
    <w:p w14:paraId="54BA5B24" w14:textId="77777777" w:rsidR="007716C2" w:rsidRDefault="00000000">
      <w:pPr>
        <w:spacing w:after="120"/>
      </w:pPr>
      <w:r>
        <w:t xml:space="preserve"> </w:t>
      </w:r>
    </w:p>
    <w:p w14:paraId="0C4747ED" w14:textId="77777777" w:rsidR="007716C2" w:rsidRDefault="00000000">
      <w:pPr>
        <w:pStyle w:val="Heading1"/>
      </w:pPr>
      <w:r>
        <w:t>1. S3-14 — Build Streak Mechanic (WONT-DO)</w:t>
      </w:r>
    </w:p>
    <w:p w14:paraId="259F0C64" w14:textId="77777777" w:rsidR="007716C2" w:rsidRDefault="00000000">
      <w:pPr>
        <w:spacing w:after="120"/>
      </w:pPr>
      <w:r>
        <w:rPr>
          <w:b/>
          <w:bCs/>
        </w:rPr>
        <w:t xml:space="preserve">Priority: </w:t>
      </w:r>
      <w:r>
        <w:t>SHOULD · 1 SP · FR-047</w:t>
      </w:r>
    </w:p>
    <w:p w14:paraId="61AB2221" w14:textId="77777777" w:rsidR="007716C2" w:rsidRDefault="00000000">
      <w:pPr>
        <w:spacing w:after="120"/>
      </w:pPr>
      <w:r>
        <w:rPr>
          <w:b/>
          <w:bCs/>
        </w:rPr>
        <w:t xml:space="preserve">Rationale for WONT-DO: </w:t>
      </w:r>
      <w:r>
        <w:t xml:space="preserve">Streak counter does not align with the research-instrument tone established across S3-09 (visual design) and S3-06 (badges as research-meaningful milestones). The multi-day mechanic specified in FR-047 is unfit for a single-session pilot population. The within-session variant specified in the Sprint Backlog risks </w:t>
      </w:r>
      <w:proofErr w:type="spellStart"/>
      <w:r>
        <w:t>incentivising</w:t>
      </w:r>
      <w:proofErr w:type="spellEnd"/>
      <w:r>
        <w:t xml:space="preserve"> response velocity over response quality — directly counter to research goals. Neither variant passes the “what fails if this doesn't ship” test.</w:t>
      </w:r>
    </w:p>
    <w:p w14:paraId="7D4948F7" w14:textId="77777777" w:rsidR="007716C2" w:rsidRDefault="00000000">
      <w:pPr>
        <w:spacing w:after="120"/>
      </w:pPr>
      <w:r>
        <w:rPr>
          <w:b/>
          <w:bCs/>
        </w:rPr>
        <w:t xml:space="preserve">Spec drift surfaced: </w:t>
      </w:r>
      <w:r>
        <w:t>FR-047 (SRS) specifies a multi-day calendar streak. Product Backlog v3.1 mirrors this. Sprint Backlog v1.0 instead specifies a within-session streak with milestones at Q5 and Q10. Two of three specs say multi-day; one says within-session. Recommendation: retire FR-047 from the SRS as part of the v2.1 documentation cleanup. Mark the Sprint Backlog entry WONT-DO.</w:t>
      </w:r>
    </w:p>
    <w:p w14:paraId="7F812B08" w14:textId="77777777" w:rsidR="007716C2" w:rsidRDefault="00000000">
      <w:pPr>
        <w:spacing w:after="120"/>
      </w:pPr>
      <w:r>
        <w:rPr>
          <w:b/>
          <w:bCs/>
        </w:rPr>
        <w:t xml:space="preserve">Code status: </w:t>
      </w:r>
      <w:r>
        <w:t>No code written. No deploy. Clean WONT-DO.</w:t>
      </w:r>
    </w:p>
    <w:p w14:paraId="195CC320" w14:textId="77777777" w:rsidR="007716C2" w:rsidRDefault="00000000">
      <w:pPr>
        <w:spacing w:after="120"/>
      </w:pPr>
      <w:r>
        <w:rPr>
          <w:b/>
          <w:bCs/>
        </w:rPr>
        <w:t xml:space="preserve">Sprint 4 carry-forward: </w:t>
      </w:r>
      <w:r>
        <w:t>None. Story is closed. Document cleanup item: retire FR-047.</w:t>
      </w:r>
    </w:p>
    <w:p w14:paraId="16B667C9" w14:textId="77777777" w:rsidR="007716C2" w:rsidRDefault="00000000">
      <w:pPr>
        <w:pStyle w:val="Heading1"/>
      </w:pPr>
      <w:r>
        <w:t>2. S3-16 — Post-Completion Enrichment Screen (WONT-DO)</w:t>
      </w:r>
    </w:p>
    <w:p w14:paraId="6EB85698" w14:textId="77777777" w:rsidR="007716C2" w:rsidRDefault="00000000">
      <w:pPr>
        <w:spacing w:after="120"/>
      </w:pPr>
      <w:r>
        <w:rPr>
          <w:b/>
          <w:bCs/>
        </w:rPr>
        <w:t xml:space="preserve">Priority: </w:t>
      </w:r>
      <w:r>
        <w:t>SHOULD · 3 SP · FR-012, FR-014, FR-097, FR-098</w:t>
      </w:r>
    </w:p>
    <w:p w14:paraId="30DEF77C" w14:textId="77777777" w:rsidR="007716C2" w:rsidRDefault="00000000">
      <w:pPr>
        <w:spacing w:after="120"/>
      </w:pPr>
      <w:r>
        <w:rPr>
          <w:b/>
          <w:bCs/>
        </w:rPr>
        <w:t xml:space="preserve">Rationale for WONT-DO: </w:t>
      </w:r>
      <w:r>
        <w:t xml:space="preserve">On review of the three proposed enrichment fields against their research utility: front desk experience is redundant with tier selection (Amateur / Professional / Expert) already captured on the welcome screen; interactions per shift </w:t>
      </w:r>
      <w:proofErr w:type="gramStart"/>
      <w:r>
        <w:t>is</w:t>
      </w:r>
      <w:proofErr w:type="gramEnd"/>
      <w:r>
        <w:t xml:space="preserve"> derivable from shift type; shift pattern alone does not justify a dedicated post-completion screen. More broadly, property-level metadata (type, region, brand, volume, chain affiliation) belongs in a property registry indexed by </w:t>
      </w:r>
      <w:proofErr w:type="spellStart"/>
      <w:r>
        <w:t>property_id</w:t>
      </w:r>
      <w:proofErr w:type="spellEnd"/>
      <w:r>
        <w:t xml:space="preserve"> at property setup time — not asked per-respondent. The screen as specified collects information that is either redundant, derivable, or in the wrong place.</w:t>
      </w:r>
    </w:p>
    <w:p w14:paraId="74C92A08" w14:textId="77777777" w:rsidR="007716C2" w:rsidRDefault="00000000">
      <w:pPr>
        <w:spacing w:after="120"/>
      </w:pPr>
      <w:r>
        <w:rPr>
          <w:b/>
          <w:bCs/>
        </w:rPr>
        <w:t xml:space="preserve">Spec drift surfaced: </w:t>
      </w:r>
      <w:r>
        <w:t>FR-012 (SRS, authoritative) specifies single-click buttons with exact label text. Sprint Backlog v1.0 specifies dropdowns and references the wrong FRs (FR-065–FR-067, which describe the dashboard, not the enrichment screen). Recommendation: retire FR-012, FR-014, FR-097, FR-098 from the SRS as part of the v2.1 documentation cleanup. Mark Sprint Backlog entry WONT-DO.</w:t>
      </w:r>
    </w:p>
    <w:p w14:paraId="645E7AE0" w14:textId="77777777" w:rsidR="007716C2" w:rsidRDefault="00000000">
      <w:pPr>
        <w:spacing w:after="120"/>
      </w:pPr>
      <w:r>
        <w:rPr>
          <w:b/>
          <w:bCs/>
        </w:rPr>
        <w:t xml:space="preserve">Code status: </w:t>
      </w:r>
      <w:r>
        <w:t xml:space="preserve">Three files were written before the value-justification challenge was applied: </w:t>
      </w:r>
      <w:proofErr w:type="spellStart"/>
      <w:r>
        <w:t>EnrichmentScreen.jsx</w:t>
      </w:r>
      <w:proofErr w:type="spellEnd"/>
      <w:r>
        <w:t xml:space="preserve"> (new, 277 lines), modified </w:t>
      </w:r>
      <w:proofErr w:type="spellStart"/>
      <w:r>
        <w:t>App.jsx</w:t>
      </w:r>
      <w:proofErr w:type="spellEnd"/>
      <w:r>
        <w:t xml:space="preserve">, modified </w:t>
      </w:r>
      <w:proofErr w:type="spellStart"/>
      <w:r>
        <w:t>CompletionScreen.jsx</w:t>
      </w:r>
      <w:proofErr w:type="spellEnd"/>
      <w:r>
        <w:t>. These files exist in /</w:t>
      </w:r>
      <w:proofErr w:type="spellStart"/>
      <w:r>
        <w:t>mnt</w:t>
      </w:r>
      <w:proofErr w:type="spellEnd"/>
      <w:r>
        <w:t xml:space="preserve">/user-data/outputs/S3-16-enrichment-screen/ as reference artifacts only. They are correct implementations of the as-written FR-012 spec and serve as evidence of what </w:t>
      </w:r>
      <w:r>
        <w:lastRenderedPageBreak/>
        <w:t xml:space="preserve">was built before being challenged. They were NOT applied to the </w:t>
      </w:r>
      <w:proofErr w:type="spellStart"/>
      <w:r>
        <w:t>src</w:t>
      </w:r>
      <w:proofErr w:type="spellEnd"/>
      <w:r>
        <w:t xml:space="preserve">/ tree, NOT committed, and NOT deployed. Working </w:t>
      </w:r>
      <w:proofErr w:type="gramStart"/>
      <w:r>
        <w:t>tree remains</w:t>
      </w:r>
      <w:proofErr w:type="gramEnd"/>
      <w:r>
        <w:t xml:space="preserve"> clean.</w:t>
      </w:r>
    </w:p>
    <w:p w14:paraId="179CDAE3" w14:textId="77777777" w:rsidR="007716C2" w:rsidRDefault="00000000">
      <w:pPr>
        <w:spacing w:after="120"/>
      </w:pPr>
      <w:r>
        <w:rPr>
          <w:b/>
          <w:bCs/>
        </w:rPr>
        <w:t xml:space="preserve">Sprint 4 carry-forward: </w:t>
      </w:r>
      <w:r>
        <w:t xml:space="preserve">Property registry schema design. Define a properties table with </w:t>
      </w:r>
      <w:proofErr w:type="spellStart"/>
      <w:r>
        <w:t>property_id</w:t>
      </w:r>
      <w:proofErr w:type="spellEnd"/>
      <w:r>
        <w:t xml:space="preserve"> (FK from </w:t>
      </w:r>
      <w:proofErr w:type="spellStart"/>
      <w:proofErr w:type="gramStart"/>
      <w:r>
        <w:t>sessions.property</w:t>
      </w:r>
      <w:proofErr w:type="gramEnd"/>
      <w:r>
        <w:t>_id</w:t>
      </w:r>
      <w:proofErr w:type="spellEnd"/>
      <w:r>
        <w:t xml:space="preserve">) and metadata columns: </w:t>
      </w:r>
      <w:proofErr w:type="spellStart"/>
      <w:r>
        <w:t>property_type</w:t>
      </w:r>
      <w:proofErr w:type="spellEnd"/>
      <w:r>
        <w:t xml:space="preserve">, region, </w:t>
      </w:r>
      <w:proofErr w:type="spellStart"/>
      <w:r>
        <w:t>market_segment</w:t>
      </w:r>
      <w:proofErr w:type="spellEnd"/>
      <w:r>
        <w:t xml:space="preserve">, </w:t>
      </w:r>
      <w:proofErr w:type="spellStart"/>
      <w:r>
        <w:t>room_count_band</w:t>
      </w:r>
      <w:proofErr w:type="spellEnd"/>
      <w:r>
        <w:t xml:space="preserve">, </w:t>
      </w:r>
      <w:proofErr w:type="spellStart"/>
      <w:r>
        <w:t>brand_affiliation</w:t>
      </w:r>
      <w:proofErr w:type="spellEnd"/>
      <w:r>
        <w:t xml:space="preserve">, </w:t>
      </w:r>
      <w:proofErr w:type="spellStart"/>
      <w:r>
        <w:t>chain_name</w:t>
      </w:r>
      <w:proofErr w:type="spellEnd"/>
      <w:r>
        <w:t>. Establish this as part of Sprint 4 architectural work so per-property metadata has a proper home before pilot.</w:t>
      </w:r>
    </w:p>
    <w:p w14:paraId="77860570" w14:textId="77777777" w:rsidR="007716C2" w:rsidRDefault="00000000">
      <w:pPr>
        <w:pStyle w:val="Heading1"/>
      </w:pPr>
      <w:r>
        <w:t>3. S3-17 — Tier-aware Badge System Expansion (DEFERRED)</w:t>
      </w:r>
    </w:p>
    <w:p w14:paraId="6B8B84C2" w14:textId="77777777" w:rsidR="007716C2" w:rsidRDefault="00000000">
      <w:pPr>
        <w:spacing w:after="120"/>
      </w:pPr>
      <w:r>
        <w:rPr>
          <w:b/>
          <w:bCs/>
        </w:rPr>
        <w:t xml:space="preserve">Priority: </w:t>
      </w:r>
      <w:r>
        <w:t>Originally in-scope for Sprint 3</w:t>
      </w:r>
    </w:p>
    <w:p w14:paraId="6270F60B" w14:textId="77777777" w:rsidR="007716C2" w:rsidRDefault="00000000">
      <w:pPr>
        <w:spacing w:after="120"/>
      </w:pPr>
      <w:r>
        <w:rPr>
          <w:b/>
          <w:bCs/>
        </w:rPr>
        <w:t xml:space="preserve">Rationale for deferral: </w:t>
      </w:r>
      <w:r>
        <w:t xml:space="preserve">S3-17 expands the badge system with two new tier-aware badges. The two badges (Decisive Voice / Considered Response / Full Spectrum for scale-use </w:t>
      </w:r>
      <w:proofErr w:type="spellStart"/>
      <w:r>
        <w:t>behaviour</w:t>
      </w:r>
      <w:proofErr w:type="spellEnd"/>
      <w:r>
        <w:t>; Full Commitment / Thorough Reviewer / Complete Picture for no-NONE answer completion) and their names require explicit stakeholder review and sign-off because they touch the research-instrument presentation layer. The S3-17 Stakeholder Review Document was delivered and is out for stakeholder turnaround. The implementation cannot proceed until the names are agreed.</w:t>
      </w:r>
    </w:p>
    <w:p w14:paraId="229BEFAC" w14:textId="77777777" w:rsidR="007716C2" w:rsidRDefault="00000000">
      <w:pPr>
        <w:spacing w:after="120"/>
      </w:pPr>
      <w:r>
        <w:rPr>
          <w:b/>
          <w:bCs/>
        </w:rPr>
        <w:t xml:space="preserve">Code status: </w:t>
      </w:r>
      <w:r>
        <w:t>No implementation. Stakeholder Review Document filed in 03-Sprint-3/Approved/ and dispatched.</w:t>
      </w:r>
    </w:p>
    <w:p w14:paraId="53464DA2" w14:textId="77777777" w:rsidR="007716C2" w:rsidRDefault="00000000">
      <w:pPr>
        <w:spacing w:after="120"/>
      </w:pPr>
      <w:r>
        <w:rPr>
          <w:b/>
          <w:bCs/>
        </w:rPr>
        <w:t xml:space="preserve">Sprint 4 carry-forward: </w:t>
      </w:r>
      <w:r>
        <w:t>S3-17 implementation moves to Sprint 4 once stakeholder sign-off is received. Add to Sprint 4 backlog with a dependency note: “gated on stakeholder approval of badge names from S3-17 Stakeholder Review Document.” Estimate carries forward unchanged. If stakeholder turnaround exceeds Sprint 4 window, story defers again to Sprint 5.</w:t>
      </w:r>
    </w:p>
    <w:p w14:paraId="4B1D29E0" w14:textId="77777777" w:rsidR="007716C2" w:rsidRDefault="00000000">
      <w:pPr>
        <w:spacing w:after="120"/>
      </w:pPr>
      <w:r>
        <w:rPr>
          <w:b/>
          <w:bCs/>
        </w:rPr>
        <w:t xml:space="preserve">Definition of Done v1.1 §5 exception: </w:t>
      </w:r>
      <w:r>
        <w:t>Deferral approved under the exception process. The reason is external dependency (stakeholder turnaround time), not a delivery shortfall. No Sprint 3 gate condition references S3-17 completion; the story was an addition beyond the gated requirements.</w:t>
      </w:r>
    </w:p>
    <w:p w14:paraId="38DC510A" w14:textId="77777777" w:rsidR="007716C2" w:rsidRDefault="00000000">
      <w:pPr>
        <w:pStyle w:val="Heading1"/>
      </w:pPr>
      <w:r>
        <w:t>4. Summary</w:t>
      </w:r>
    </w:p>
    <w:p w14:paraId="771DBE3A" w14:textId="77777777" w:rsidR="007716C2" w:rsidRDefault="00000000">
      <w:pPr>
        <w:spacing w:after="120"/>
      </w:pPr>
      <w:r>
        <w:t>Two stories dropped after value-justification challenge (S3-14, S3-16). One story deferred to Sprint 4 pending external sign-off (S3-17). No Sprint 3 gate conditions affected. Sprint 3 closes with all six gate conditions PASS.</w:t>
      </w:r>
    </w:p>
    <w:p w14:paraId="4B17AFDB" w14:textId="77777777" w:rsidR="007716C2" w:rsidRDefault="00000000">
      <w:pPr>
        <w:pStyle w:val="Heading1"/>
      </w:pPr>
      <w:r>
        <w:t>5.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716C2" w14:paraId="04FACF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36E7" w14:textId="77777777" w:rsidR="007716C2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2DA9" w14:textId="77777777" w:rsidR="007716C2" w:rsidRDefault="00000000">
            <w:r>
              <w:rPr>
                <w:b/>
                <w:bCs/>
              </w:rPr>
              <w:t>Name &amp; Signature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7BE4" w14:textId="77777777" w:rsidR="007716C2" w:rsidRDefault="00000000">
            <w:r>
              <w:rPr>
                <w:b/>
                <w:bCs/>
              </w:rPr>
              <w:t>Date</w:t>
            </w:r>
          </w:p>
        </w:tc>
      </w:tr>
      <w:tr w:rsidR="007716C2" w14:paraId="700139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2913" w14:textId="77777777" w:rsidR="007716C2" w:rsidRDefault="00000000">
            <w:r>
              <w:t>Lead Researcher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7ECB" w14:textId="77777777" w:rsidR="007716C2" w:rsidRDefault="00000000"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F0C3" w14:textId="77777777" w:rsidR="007716C2" w:rsidRDefault="00000000">
            <w:r>
              <w:t xml:space="preserve"> </w:t>
            </w:r>
          </w:p>
        </w:tc>
      </w:tr>
      <w:tr w:rsidR="007716C2" w14:paraId="4EF190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4EC9" w14:textId="77777777" w:rsidR="007716C2" w:rsidRDefault="00000000">
            <w:r>
              <w:t>Developer (AI Representative)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7D03" w14:textId="77777777" w:rsidR="007716C2" w:rsidRDefault="00000000">
            <w:r>
              <w:t>Claude (AI Developer)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D002" w14:textId="77777777" w:rsidR="007716C2" w:rsidRDefault="00000000">
            <w:r>
              <w:t>31 May 2026</w:t>
            </w:r>
          </w:p>
        </w:tc>
      </w:tr>
    </w:tbl>
    <w:p w14:paraId="24330CB2" w14:textId="77777777" w:rsidR="007716C2" w:rsidRDefault="00000000">
      <w:pPr>
        <w:spacing w:after="120"/>
      </w:pPr>
      <w:r>
        <w:t xml:space="preserve"> </w:t>
      </w:r>
    </w:p>
    <w:p w14:paraId="557ABFCF" w14:textId="77777777" w:rsidR="007716C2" w:rsidRDefault="00000000">
      <w:pPr>
        <w:spacing w:after="120"/>
        <w:jc w:val="center"/>
      </w:pPr>
      <w:proofErr w:type="gramStart"/>
      <w:r>
        <w:rPr>
          <w:i/>
          <w:iCs/>
          <w:color w:val="888888"/>
        </w:rPr>
        <w:t>— END</w:t>
      </w:r>
      <w:proofErr w:type="gramEnd"/>
      <w:r>
        <w:rPr>
          <w:i/>
          <w:iCs/>
          <w:color w:val="888888"/>
        </w:rPr>
        <w:t xml:space="preserve"> OF DEFERRALS </w:t>
      </w:r>
      <w:proofErr w:type="gramStart"/>
      <w:r>
        <w:rPr>
          <w:i/>
          <w:iCs/>
          <w:color w:val="888888"/>
        </w:rPr>
        <w:t>AND</w:t>
      </w:r>
      <w:proofErr w:type="gramEnd"/>
      <w:r>
        <w:rPr>
          <w:i/>
          <w:iCs/>
          <w:color w:val="888888"/>
        </w:rPr>
        <w:t xml:space="preserve"> WONT-DO MEMO —</w:t>
      </w:r>
    </w:p>
    <w:sectPr w:rsidR="007716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27529"/>
    <w:multiLevelType w:val="hybridMultilevel"/>
    <w:tmpl w:val="CF2EC82E"/>
    <w:lvl w:ilvl="0" w:tplc="2984F922">
      <w:start w:val="1"/>
      <w:numFmt w:val="bullet"/>
      <w:lvlText w:val="•"/>
      <w:lvlJc w:val="left"/>
      <w:pPr>
        <w:ind w:left="720" w:hanging="360"/>
      </w:pPr>
    </w:lvl>
    <w:lvl w:ilvl="1" w:tplc="14869878">
      <w:numFmt w:val="decimal"/>
      <w:lvlText w:val=""/>
      <w:lvlJc w:val="left"/>
    </w:lvl>
    <w:lvl w:ilvl="2" w:tplc="D29088FC">
      <w:numFmt w:val="decimal"/>
      <w:lvlText w:val=""/>
      <w:lvlJc w:val="left"/>
    </w:lvl>
    <w:lvl w:ilvl="3" w:tplc="B4861BE6">
      <w:numFmt w:val="decimal"/>
      <w:lvlText w:val=""/>
      <w:lvlJc w:val="left"/>
    </w:lvl>
    <w:lvl w:ilvl="4" w:tplc="B06CC63C">
      <w:numFmt w:val="decimal"/>
      <w:lvlText w:val=""/>
      <w:lvlJc w:val="left"/>
    </w:lvl>
    <w:lvl w:ilvl="5" w:tplc="8208E398">
      <w:numFmt w:val="decimal"/>
      <w:lvlText w:val=""/>
      <w:lvlJc w:val="left"/>
    </w:lvl>
    <w:lvl w:ilvl="6" w:tplc="CD804196">
      <w:numFmt w:val="decimal"/>
      <w:lvlText w:val=""/>
      <w:lvlJc w:val="left"/>
    </w:lvl>
    <w:lvl w:ilvl="7" w:tplc="ADB0C842">
      <w:numFmt w:val="decimal"/>
      <w:lvlText w:val=""/>
      <w:lvlJc w:val="left"/>
    </w:lvl>
    <w:lvl w:ilvl="8" w:tplc="34424540">
      <w:numFmt w:val="decimal"/>
      <w:lvlText w:val=""/>
      <w:lvlJc w:val="left"/>
    </w:lvl>
  </w:abstractNum>
  <w:abstractNum w:abstractNumId="1" w15:restartNumberingAfterBreak="0">
    <w:nsid w:val="555908D5"/>
    <w:multiLevelType w:val="hybridMultilevel"/>
    <w:tmpl w:val="0F266ADA"/>
    <w:lvl w:ilvl="0" w:tplc="8B5CD162">
      <w:start w:val="1"/>
      <w:numFmt w:val="bullet"/>
      <w:lvlText w:val="●"/>
      <w:lvlJc w:val="left"/>
      <w:pPr>
        <w:ind w:left="720" w:hanging="360"/>
      </w:pPr>
    </w:lvl>
    <w:lvl w:ilvl="1" w:tplc="26B2E5DA">
      <w:start w:val="1"/>
      <w:numFmt w:val="bullet"/>
      <w:lvlText w:val="○"/>
      <w:lvlJc w:val="left"/>
      <w:pPr>
        <w:ind w:left="1440" w:hanging="360"/>
      </w:pPr>
    </w:lvl>
    <w:lvl w:ilvl="2" w:tplc="71A66CA4">
      <w:start w:val="1"/>
      <w:numFmt w:val="bullet"/>
      <w:lvlText w:val="■"/>
      <w:lvlJc w:val="left"/>
      <w:pPr>
        <w:ind w:left="2160" w:hanging="360"/>
      </w:pPr>
    </w:lvl>
    <w:lvl w:ilvl="3" w:tplc="4E0212CC">
      <w:start w:val="1"/>
      <w:numFmt w:val="bullet"/>
      <w:lvlText w:val="●"/>
      <w:lvlJc w:val="left"/>
      <w:pPr>
        <w:ind w:left="2880" w:hanging="360"/>
      </w:pPr>
    </w:lvl>
    <w:lvl w:ilvl="4" w:tplc="98B85882">
      <w:start w:val="1"/>
      <w:numFmt w:val="bullet"/>
      <w:lvlText w:val="○"/>
      <w:lvlJc w:val="left"/>
      <w:pPr>
        <w:ind w:left="3600" w:hanging="360"/>
      </w:pPr>
    </w:lvl>
    <w:lvl w:ilvl="5" w:tplc="02583F22">
      <w:start w:val="1"/>
      <w:numFmt w:val="bullet"/>
      <w:lvlText w:val="■"/>
      <w:lvlJc w:val="left"/>
      <w:pPr>
        <w:ind w:left="4320" w:hanging="360"/>
      </w:pPr>
    </w:lvl>
    <w:lvl w:ilvl="6" w:tplc="4858DDE2">
      <w:start w:val="1"/>
      <w:numFmt w:val="bullet"/>
      <w:lvlText w:val="●"/>
      <w:lvlJc w:val="left"/>
      <w:pPr>
        <w:ind w:left="5040" w:hanging="360"/>
      </w:pPr>
    </w:lvl>
    <w:lvl w:ilvl="7" w:tplc="E8E656AC">
      <w:start w:val="1"/>
      <w:numFmt w:val="bullet"/>
      <w:lvlText w:val="●"/>
      <w:lvlJc w:val="left"/>
      <w:pPr>
        <w:ind w:left="5760" w:hanging="360"/>
      </w:pPr>
    </w:lvl>
    <w:lvl w:ilvl="8" w:tplc="7B782CEE">
      <w:start w:val="1"/>
      <w:numFmt w:val="bullet"/>
      <w:lvlText w:val="●"/>
      <w:lvlJc w:val="left"/>
      <w:pPr>
        <w:ind w:left="6480" w:hanging="360"/>
      </w:pPr>
    </w:lvl>
  </w:abstractNum>
  <w:num w:numId="1" w16cid:durableId="8043966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6C2"/>
    <w:rsid w:val="007716C2"/>
    <w:rsid w:val="007B2FD4"/>
    <w:rsid w:val="00ED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9D2C"/>
  <w15:docId w15:val="{D115E75E-6FC2-4C56-993F-8F636D5F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 vaal</cp:lastModifiedBy>
  <cp:revision>2</cp:revision>
  <dcterms:created xsi:type="dcterms:W3CDTF">2026-05-31T10:43:00Z</dcterms:created>
  <dcterms:modified xsi:type="dcterms:W3CDTF">2026-05-31T10:43:00Z</dcterms:modified>
</cp:coreProperties>
</file>