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COTIZACIÓN DE SERVICIOS</w:t>
      </w:r>
    </w:p>
    <w:p>
      <w:pPr>
        <w:jc w:val="right"/>
      </w:pPr>
      <w:r>
        <w:rPr>
          <w:b/>
        </w:rPr>
        <w:t xml:space="preserve">Fecha: </w:t>
      </w:r>
      <w:r>
        <w:t>15/09/2025</w:t>
      </w:r>
    </w:p>
    <w:p>
      <w:pPr>
        <w:pStyle w:val="Heading1"/>
      </w:pPr>
      <w:r>
        <w:t>INFORMACIÓN DEL CLIENTE</w:t>
      </w:r>
    </w:p>
    <w:p>
      <w:r>
        <w:rPr>
          <w:b/>
        </w:rPr>
        <w:t xml:space="preserve">Cliente: </w:t>
      </w:r>
      <w:r>
        <w:t>{{cliente}}</w:t>
      </w:r>
    </w:p>
    <w:p>
      <w:r>
        <w:rPr>
          <w:b/>
        </w:rPr>
        <w:t xml:space="preserve">NIT: </w:t>
      </w:r>
      <w:r>
        <w:t>{{nit}}</w:t>
      </w:r>
    </w:p>
    <w:p>
      <w:r>
        <w:rPr>
          <w:b/>
        </w:rPr>
        <w:t xml:space="preserve">Dirección: </w:t>
      </w:r>
      <w:r>
        <w:t>{{direccion}}</w:t>
      </w:r>
    </w:p>
    <w:p>
      <w:pPr>
        <w:pStyle w:val="Heading1"/>
      </w:pPr>
      <w:r>
        <w:t>REFERENCIA</w:t>
      </w:r>
    </w:p>
    <w:p>
      <w:r>
        <w:t>{{referencia}}</w:t>
      </w:r>
    </w:p>
    <w:p>
      <w:pPr>
        <w:pStyle w:val="Heading1"/>
      </w:pPr>
      <w:r>
        <w:t>DETALLE DE COTIZACIÓN</w:t>
      </w:r>
    </w:p>
    <w:p>
      <w:r>
        <w:drawing>
          <wp:inline xmlns:a="http://schemas.openxmlformats.org/drawingml/2006/main" xmlns:pic="http://schemas.openxmlformats.org/drawingml/2006/picture">
            <wp:extent cx="5943600" cy="33993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a_cotizacion_202509150435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CONDICIONES COMERCIALES</w:t>
      </w:r>
    </w:p>
    <w:p>
      <w:r>
        <w:rPr>
          <w:b/>
        </w:rPr>
        <w:t xml:space="preserve">Validez de la Oferta: </w:t>
      </w:r>
      <w:r>
        <w:t>30 días calendario a partir de la fecha de emisión.</w:t>
      </w:r>
    </w:p>
    <w:p>
      <w:r>
        <w:rPr>
          <w:b/>
        </w:rPr>
        <w:t xml:space="preserve">Personal de Obra: </w:t>
      </w:r>
      <w:r>
        <w:t>1 cuadrilla(s) conformada(s) por {{operarios}} operario(s).</w:t>
      </w:r>
    </w:p>
    <w:p>
      <w:r>
        <w:rPr>
          <w:b/>
        </w:rPr>
        <w:t xml:space="preserve">Plazo de Ejecución: </w:t>
      </w:r>
      <w:r>
        <w:t>{{plazo}} días hábiles.</w:t>
      </w:r>
    </w:p>
    <w:p>
      <w:r>
        <w:rPr>
          <w:b/>
        </w:rPr>
        <w:t xml:space="preserve">Forma de Pago: </w:t>
      </w:r>
      <w:r>
        <w:t>Contraentrega</w:t>
      </w:r>
    </w:p>
    <w:p>
      <w:pPr>
        <w:pStyle w:val="Heading1"/>
      </w:pPr>
      <w:r>
        <w:t>NOTAS ADICIONALES</w:t>
      </w:r>
    </w:p>
    <w:p>
      <w:r>
        <w:t>1. Los precios incluyen IVA y todos los impuestos aplicables.</w:t>
      </w:r>
    </w:p>
    <w:p>
      <w:r>
        <w:t>2. No incluye trámites ni permisos ante entidades municipales.</w:t>
      </w:r>
    </w:p>
    <w:p>
      <w:r>
        <w:t>3. Los materiales serán de primera calidad y cumplen con las normas técnicas vigentes.</w:t>
      </w:r>
    </w:p>
    <w:p>
      <w:r>
        <w:t>4. Cualquier trabajo adicional no contemplado en esta cotización será objeto de una nueva propuesta.</w:t>
      </w:r>
    </w:p>
    <w:p>
      <w:r>
        <w:br/>
        <w:br/>
      </w:r>
    </w:p>
    <w:p>
      <w:pPr>
        <w:jc w:val="center"/>
      </w:pPr>
      <w:r>
        <w:t>_______________________________</w:t>
      </w:r>
    </w:p>
    <w:p>
      <w:pPr>
        <w:jc w:val="center"/>
      </w:pPr>
      <w:r>
        <w:t>Firma y Sello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