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color w:val="555555"/>
          <w:sz w:val="26"/>
        </w:rPr>
        <w:t>Kennesaw State University</w:t>
        <w:br/>
        <w:t>Department of Computer Science</w:t>
      </w:r>
    </w:p>
    <w:p/>
    <w:p>
      <w:pPr>
        <w:jc w:val="center"/>
      </w:pPr>
      <w:r>
        <w:rPr>
          <w:b/>
          <w:color w:val="0A2540"/>
          <w:sz w:val="40"/>
        </w:rPr>
        <w:t>Reproducing TIME-IMM:</w:t>
        <w:br/>
        <w:t>Irregular Multimodal Multivariate</w:t>
        <w:br/>
        <w:t>Time Series Forecasting on EPA-Air</w:t>
      </w:r>
    </w:p>
    <w:p/>
    <w:p>
      <w:pPr>
        <w:jc w:val="center"/>
      </w:pPr>
      <w:r>
        <w:rPr>
          <w:color w:val="444444"/>
          <w:sz w:val="26"/>
        </w:rPr>
        <w:t>Data Mining II — Course Project Report</w:t>
      </w:r>
    </w:p>
    <w:p/>
    <w:p>
      <w:pPr>
        <w:jc w:val="center"/>
      </w:pPr>
      <w:r>
        <w:rPr>
          <w:color w:val="1A1A1A"/>
          <w:sz w:val="24"/>
        </w:rPr>
        <w:t>Team Members</w:t>
        <w:br/>
        <w:br/>
        <w:t>Anil Vallepu</w:t>
        <w:br/>
        <w:t>Param Venkat Vivek Kesireddy</w:t>
        <w:br/>
        <w:t>Vineetha Burugupalli</w:t>
      </w:r>
    </w:p>
    <w:p/>
    <w:p>
      <w:pPr>
        <w:jc w:val="center"/>
      </w:pPr>
      <w:r>
        <w:rPr>
          <w:color w:val="1A1A1A"/>
          <w:sz w:val="24"/>
        </w:rPr>
        <w:t>Advisor: Dr. Bin Luo</w:t>
        <w:br/>
        <w:t>Date: April 2026</w:t>
      </w:r>
    </w:p>
    <w:p>
      <w:r>
        <w:br w:type="page"/>
      </w:r>
    </w:p>
    <w:p>
      <w:pPr>
        <w:spacing w:before="360" w:after="120"/>
      </w:pPr>
      <w:r>
        <w:rPr>
          <w:b/>
          <w:color w:val="0A2540"/>
          <w:sz w:val="32"/>
        </w:rPr>
        <w:t>Table of Contents</w:t>
      </w:r>
    </w:p>
    <w:p>
      <w:pPr>
        <w:spacing w:after="60"/>
      </w:pPr>
      <w:r>
        <w:rPr>
          <w:color w:val="0A2540"/>
          <w:sz w:val="22"/>
        </w:rPr>
        <w:t>1.  Abstract</w:t>
      </w:r>
    </w:p>
    <w:p>
      <w:pPr>
        <w:spacing w:after="60"/>
      </w:pPr>
      <w:r>
        <w:rPr>
          <w:color w:val="0A2540"/>
          <w:sz w:val="22"/>
        </w:rPr>
        <w:t>2.  Introduction and Motivation</w:t>
      </w:r>
    </w:p>
    <w:p>
      <w:pPr>
        <w:spacing w:after="60"/>
      </w:pPr>
      <w:r>
        <w:rPr>
          <w:color w:val="0A2540"/>
          <w:sz w:val="22"/>
        </w:rPr>
        <w:t>3.  Source Paper Overview</w:t>
      </w:r>
    </w:p>
    <w:p>
      <w:pPr>
        <w:spacing w:after="60"/>
      </w:pPr>
      <w:r>
        <w:rPr>
          <w:color w:val="0A2540"/>
          <w:sz w:val="22"/>
        </w:rPr>
        <w:t>4.  Dataset: EPA-Air</w:t>
      </w:r>
    </w:p>
    <w:p>
      <w:pPr>
        <w:spacing w:after="60"/>
      </w:pPr>
      <w:r>
        <w:rPr>
          <w:color w:val="0A2540"/>
          <w:sz w:val="22"/>
        </w:rPr>
        <w:t>5.  Framework and Configuration</w:t>
      </w:r>
    </w:p>
    <w:p>
      <w:pPr>
        <w:spacing w:after="60"/>
      </w:pPr>
      <w:r>
        <w:rPr>
          <w:color w:val="0A2540"/>
          <w:sz w:val="22"/>
        </w:rPr>
        <w:t>6.  Models Evaluated</w:t>
      </w:r>
    </w:p>
    <w:p>
      <w:pPr>
        <w:spacing w:after="60"/>
      </w:pPr>
      <w:r>
        <w:rPr>
          <w:color w:val="0A2540"/>
          <w:sz w:val="22"/>
        </w:rPr>
        <w:t xml:space="preserve">     6.1  Regular Time Series Forecasters</w:t>
      </w:r>
    </w:p>
    <w:p>
      <w:pPr>
        <w:spacing w:after="60"/>
      </w:pPr>
      <w:r>
        <w:rPr>
          <w:color w:val="0A2540"/>
          <w:sz w:val="22"/>
        </w:rPr>
        <w:t xml:space="preserve">     6.2  Large Pretrained Models</w:t>
      </w:r>
    </w:p>
    <w:p>
      <w:pPr>
        <w:spacing w:after="60"/>
      </w:pPr>
      <w:r>
        <w:rPr>
          <w:color w:val="0A2540"/>
          <w:sz w:val="22"/>
        </w:rPr>
        <w:t xml:space="preserve">     6.3  ODE-Based Irregular Models</w:t>
      </w:r>
    </w:p>
    <w:p>
      <w:pPr>
        <w:spacing w:after="60"/>
      </w:pPr>
      <w:r>
        <w:rPr>
          <w:color w:val="0A2540"/>
          <w:sz w:val="22"/>
        </w:rPr>
        <w:t xml:space="preserve">     6.4  Graph-Based Models</w:t>
      </w:r>
    </w:p>
    <w:p>
      <w:pPr>
        <w:spacing w:after="60"/>
      </w:pPr>
      <w:r>
        <w:rPr>
          <w:color w:val="0A2540"/>
          <w:sz w:val="22"/>
        </w:rPr>
        <w:t>7.  Experimental Setup</w:t>
      </w:r>
    </w:p>
    <w:p>
      <w:pPr>
        <w:spacing w:after="60"/>
      </w:pPr>
      <w:r>
        <w:rPr>
          <w:color w:val="0A2540"/>
          <w:sz w:val="22"/>
        </w:rPr>
        <w:t>8.  Results and Analysis</w:t>
      </w:r>
    </w:p>
    <w:p>
      <w:pPr>
        <w:spacing w:after="60"/>
      </w:pPr>
      <w:r>
        <w:rPr>
          <w:color w:val="0A2540"/>
          <w:sz w:val="22"/>
        </w:rPr>
        <w:t>9.  Track C: Text Encoder Ablation</w:t>
      </w:r>
    </w:p>
    <w:p>
      <w:pPr>
        <w:spacing w:after="60"/>
      </w:pPr>
      <w:r>
        <w:rPr>
          <w:color w:val="0A2540"/>
          <w:sz w:val="22"/>
        </w:rPr>
        <w:t>10. Challenges and How We Solved Them</w:t>
      </w:r>
    </w:p>
    <w:p>
      <w:pPr>
        <w:spacing w:after="60"/>
      </w:pPr>
      <w:r>
        <w:rPr>
          <w:color w:val="0A2540"/>
          <w:sz w:val="22"/>
        </w:rPr>
        <w:t>11. Discussion</w:t>
      </w:r>
    </w:p>
    <w:p>
      <w:pPr>
        <w:spacing w:after="60"/>
      </w:pPr>
      <w:r>
        <w:rPr>
          <w:color w:val="0A2540"/>
          <w:sz w:val="22"/>
        </w:rPr>
        <w:t>12. Conclusion</w:t>
      </w:r>
    </w:p>
    <w:p>
      <w:pPr>
        <w:spacing w:after="60"/>
      </w:pPr>
      <w:r>
        <w:rPr>
          <w:color w:val="0A2540"/>
          <w:sz w:val="22"/>
        </w:rPr>
        <w:t>13. References</w:t>
      </w:r>
    </w:p>
    <w:p>
      <w:r>
        <w:br w:type="page"/>
      </w:r>
    </w:p>
    <w:p>
      <w:pPr>
        <w:spacing w:before="360" w:after="120"/>
      </w:pPr>
      <w:r>
        <w:rPr>
          <w:b/>
          <w:color w:val="0A2540"/>
          <w:sz w:val="32"/>
        </w:rPr>
        <w:t>1. Abstract</w:t>
      </w:r>
    </w:p>
    <w:p>
      <w:pPr>
        <w:spacing w:after="160"/>
        <w:jc w:val="both"/>
      </w:pPr>
      <w:r>
        <w:rPr>
          <w:b w:val="0"/>
          <w:i w:val="0"/>
          <w:color w:val="1A1A1A"/>
          <w:sz w:val="22"/>
        </w:rPr>
        <w:t>This project reproduces the baseline results from the NeurIPS 2025 paper "TIME-IMM: A Dataset and Benchmark for Irregular Multimodal Multivariate Time Series" (Jia et al., 2025). We evaluate 11 state-of-the-art forecasting models on the EPA-Air dataset — air quality readings across 8 US counties — under unimodal (time series only) and multimodal (time series + GPT-2 text embeddings) settings. Out of 11 models, 10 were fully or partially reproduced. Our results are within 1–15% of the paper's reported values, with deviations explained by compute constraints, hardware differences, and reduced training epochs for ODE-based models. Text fusion improved forecast accuracy in 6 of 9 fully completed model pairs, with TimeLLM benefiting the most (−12.6% MSE). We also conducted a text encoder ablation comparing GPT-2, BERT, and random noise across 7 models, confirming GPT-2 as the superior encoder. This report documents all models, results, challenges encountered, and solutions applied throughout the project.</w:t>
      </w:r>
    </w:p>
    <w:p>
      <w:pPr>
        <w:spacing w:before="360" w:after="120"/>
      </w:pPr>
      <w:r>
        <w:rPr>
          <w:b/>
          <w:color w:val="0A2540"/>
          <w:sz w:val="32"/>
        </w:rPr>
        <w:t>2. Introduction and Motivation</w:t>
      </w:r>
    </w:p>
    <w:p>
      <w:pPr>
        <w:spacing w:after="160"/>
        <w:jc w:val="both"/>
      </w:pPr>
      <w:r>
        <w:rPr>
          <w:b w:val="0"/>
          <w:i w:val="0"/>
          <w:color w:val="1A1A1A"/>
          <w:sz w:val="22"/>
        </w:rPr>
        <w:t>Time series forecasting is a foundational problem in data mining, with applications ranging from finance and healthcare to environmental monitoring. Most existing benchmarks assume that data is regular (uniformly sampled) and unimodal (numeric only). Real-world sensor data, however, is often irregular — missing observations, varying sampling rates — and increasingly paired with contextual text such as news articles, weather reports, or clinical notes.</w:t>
      </w:r>
    </w:p>
    <w:p>
      <w:pPr>
        <w:spacing w:after="160"/>
        <w:jc w:val="both"/>
      </w:pPr>
      <w:r>
        <w:rPr>
          <w:b w:val="0"/>
          <w:i w:val="0"/>
          <w:color w:val="1A1A1A"/>
          <w:sz w:val="22"/>
        </w:rPr>
        <w:t>The TIME-IMM paper (NeurIPS 2025) addresses this gap by introducing a benchmark specifically for Irregular Multimodal Multivariate Time Series (IMM-TSF). It pairs numerical time series with weekly natural-language summaries and asks: does incorporating textual context improve forecasting accuracy?</w:t>
      </w:r>
    </w:p>
    <w:p>
      <w:pPr>
        <w:spacing w:after="160"/>
        <w:jc w:val="both"/>
      </w:pPr>
      <w:r>
        <w:rPr>
          <w:b w:val="0"/>
          <w:i w:val="0"/>
          <w:color w:val="1A1A1A"/>
          <w:sz w:val="22"/>
        </w:rPr>
        <w:t>Our project reproduces Table 11 of the paper on the EPA-Air dataset with three goals:</w:t>
      </w:r>
    </w:p>
    <w:p>
      <w:pPr>
        <w:pStyle w:val="ListNumber"/>
        <w:spacing w:after="60"/>
      </w:pPr>
      <w:r>
        <w:rPr>
          <w:color w:val="1A1A1A"/>
          <w:sz w:val="22"/>
        </w:rPr>
        <w:t>Verify that the paper's reported results are reproducible under standard compute conditions.</w:t>
      </w:r>
    </w:p>
    <w:p>
      <w:pPr>
        <w:pStyle w:val="ListNumber"/>
        <w:spacing w:after="60"/>
      </w:pPr>
      <w:r>
        <w:rPr>
          <w:color w:val="1A1A1A"/>
          <w:sz w:val="22"/>
        </w:rPr>
        <w:t>Understand when and why text fusion helps or hurts different model architectures.</w:t>
      </w:r>
    </w:p>
    <w:p>
      <w:pPr>
        <w:pStyle w:val="ListNumber"/>
        <w:spacing w:after="60"/>
      </w:pPr>
      <w:r>
        <w:rPr>
          <w:color w:val="1A1A1A"/>
          <w:sz w:val="22"/>
        </w:rPr>
        <w:t>Gain hands-on experience with the full range of modern time series forecasting architectures.</w:t>
      </w:r>
    </w:p>
    <w:p>
      <w:pPr>
        <w:spacing w:before="360" w:after="120"/>
      </w:pPr>
      <w:r>
        <w:rPr>
          <w:b/>
          <w:color w:val="0A2540"/>
          <w:sz w:val="32"/>
        </w:rPr>
        <w:t>3. Source Paper Overview</w:t>
      </w:r>
    </w:p>
    <w:p>
      <w:pPr>
        <w:spacing w:after="160"/>
        <w:jc w:val="both"/>
      </w:pPr>
      <w:r>
        <w:rPr>
          <w:b w:val="0"/>
          <w:i w:val="0"/>
          <w:color w:val="1A1A1A"/>
          <w:sz w:val="22"/>
        </w:rPr>
        <w:t>Title: TIME-IMM: A Dataset and Benchmark for Irregular Multimodal Multivariate Time Series</w:t>
        <w:br/>
        <w:t>Authors: Jia et al.    |    Venue: NeurIPS 2025    |    Code: github.com/blacksnail789521/IMM-TSF</w:t>
      </w:r>
    </w:p>
    <w:p>
      <w:pPr>
        <w:spacing w:after="160"/>
        <w:jc w:val="both"/>
      </w:pPr>
      <w:r>
        <w:rPr>
          <w:b w:val="0"/>
          <w:i w:val="0"/>
          <w:color w:val="1A1A1A"/>
          <w:sz w:val="22"/>
        </w:rPr>
        <w:t>The paper makes three core contributions:</w:t>
      </w:r>
    </w:p>
    <w:p>
      <w:pPr>
        <w:pStyle w:val="ListNumber"/>
        <w:spacing w:after="60"/>
      </w:pPr>
      <w:r>
        <w:rPr>
          <w:color w:val="1A1A1A"/>
          <w:sz w:val="22"/>
        </w:rPr>
        <w:t>Dataset: Four real-world IMM-TSF datasets — EPA-Air, PhysioNet, MIMIC-III, and FinNews — each pairing irregular numeric observations with textual descriptions at corresponding time points.</w:t>
      </w:r>
    </w:p>
    <w:p>
      <w:pPr>
        <w:pStyle w:val="ListNumber"/>
        <w:spacing w:after="60"/>
      </w:pPr>
      <w:r>
        <w:rPr>
          <w:color w:val="1A1A1A"/>
          <w:sz w:val="22"/>
        </w:rPr>
        <w:t>Framework (IMM-TSF): A unified training pipeline supporting 11 baseline models with plug-and-play Temporal Text Fusion (TTF) and Multimodal Fusion (MMF) modules.</w:t>
      </w:r>
    </w:p>
    <w:p>
      <w:pPr>
        <w:pStyle w:val="ListNumber"/>
        <w:spacing w:after="60"/>
      </w:pPr>
      <w:r>
        <w:rPr>
          <w:color w:val="1A1A1A"/>
          <w:sz w:val="22"/>
        </w:rPr>
        <w:t>Benchmark: Systematic evaluation showing that multimodal fusion consistently improves prediction accuracy for most models, with GPT-2 as the best text encoder.</w:t>
      </w:r>
    </w:p>
    <w:p>
      <w:pPr>
        <w:spacing w:after="160"/>
        <w:jc w:val="both"/>
      </w:pPr>
      <w:r>
        <w:rPr>
          <w:b w:val="0"/>
          <w:i w:val="0"/>
          <w:color w:val="1A1A1A"/>
          <w:sz w:val="22"/>
        </w:rPr>
        <w:t>We focus entirely on the EPA-Air dataset and the best-performing fusion configuration: TTF_RecAvg + MMF_GR_Add + GPT2 (per paper Appendix K.1).</w:t>
      </w:r>
    </w:p>
    <w:p>
      <w:pPr>
        <w:spacing w:before="360" w:after="120"/>
      </w:pPr>
      <w:r>
        <w:rPr>
          <w:b/>
          <w:color w:val="0A2540"/>
          <w:sz w:val="32"/>
        </w:rPr>
        <w:t>4. Dataset: EPA-Air</w:t>
      </w:r>
    </w:p>
    <w:p>
      <w:pPr>
        <w:spacing w:after="160"/>
        <w:jc w:val="both"/>
      </w:pPr>
      <w:r>
        <w:rPr>
          <w:b w:val="0"/>
          <w:i w:val="0"/>
          <w:color w:val="1A1A1A"/>
          <w:sz w:val="22"/>
        </w:rPr>
        <w:t>The EPA-Air dataset aggregates air quality sensor readings from the US Environmental Protection Agency across 8 US counties.</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0a2540"/>
            <w:vAlign w:val="center"/>
          </w:tcPr>
          <w:p>
            <w:pPr>
              <w:jc w:val="center"/>
            </w:pPr>
            <w:r>
              <w:rPr>
                <w:b/>
                <w:color w:val="FFFFFF"/>
                <w:sz w:val="19"/>
              </w:rPr>
              <w:t>Property</w:t>
            </w:r>
          </w:p>
        </w:tc>
        <w:tc>
          <w:tcPr>
            <w:tcW w:type="dxa" w:w="6520"/>
            <w:shd w:val="clear" w:color="auto" w:fill="0a2540"/>
            <w:vAlign w:val="center"/>
          </w:tcPr>
          <w:p>
            <w:pPr>
              <w:jc w:val="center"/>
            </w:pPr>
            <w:r>
              <w:rPr>
                <w:b/>
                <w:color w:val="FFFFFF"/>
                <w:sz w:val="19"/>
              </w:rPr>
              <w:t>Value</w:t>
            </w:r>
          </w:p>
        </w:tc>
      </w:tr>
      <w:tr>
        <w:tc>
          <w:tcPr>
            <w:tcW w:type="dxa" w:w="2551"/>
            <w:vAlign w:val="center"/>
          </w:tcPr>
          <w:p>
            <w:pPr>
              <w:jc w:val="left"/>
            </w:pPr>
            <w:r>
              <w:rPr>
                <w:color w:val="1A1A1A"/>
                <w:sz w:val="19"/>
              </w:rPr>
              <w:t>Counties</w:t>
            </w:r>
          </w:p>
        </w:tc>
        <w:tc>
          <w:tcPr>
            <w:tcW w:type="dxa" w:w="6520"/>
            <w:vAlign w:val="center"/>
          </w:tcPr>
          <w:p>
            <w:pPr>
              <w:jc w:val="center"/>
            </w:pPr>
            <w:r>
              <w:rPr>
                <w:color w:val="1A1A1A"/>
                <w:sz w:val="19"/>
              </w:rPr>
              <w:t>Los Angeles CA, Cook IL, Harris TX, Maricopa AZ, San Diego CA, Orange CA, Riverside CA, Clark NV</w:t>
            </w:r>
          </w:p>
        </w:tc>
      </w:tr>
      <w:tr>
        <w:tc>
          <w:tcPr>
            <w:tcW w:type="dxa" w:w="2551"/>
            <w:shd w:val="clear" w:color="auto" w:fill="f4f7fb"/>
            <w:vAlign w:val="center"/>
          </w:tcPr>
          <w:p>
            <w:pPr>
              <w:jc w:val="left"/>
            </w:pPr>
            <w:r>
              <w:rPr>
                <w:color w:val="1A1A1A"/>
                <w:sz w:val="19"/>
              </w:rPr>
              <w:t>Numeric features</w:t>
            </w:r>
          </w:p>
        </w:tc>
        <w:tc>
          <w:tcPr>
            <w:tcW w:type="dxa" w:w="6520"/>
            <w:shd w:val="clear" w:color="auto" w:fill="f4f7fb"/>
            <w:vAlign w:val="center"/>
          </w:tcPr>
          <w:p>
            <w:pPr>
              <w:jc w:val="center"/>
            </w:pPr>
            <w:r>
              <w:rPr>
                <w:color w:val="1A1A1A"/>
                <w:sz w:val="19"/>
              </w:rPr>
              <w:t>Temperature, PM2.5, AQI (Air Quality Index), Ozone</w:t>
            </w:r>
          </w:p>
        </w:tc>
      </w:tr>
      <w:tr>
        <w:tc>
          <w:tcPr>
            <w:tcW w:type="dxa" w:w="2551"/>
            <w:vAlign w:val="center"/>
          </w:tcPr>
          <w:p>
            <w:pPr>
              <w:jc w:val="left"/>
            </w:pPr>
            <w:r>
              <w:rPr>
                <w:color w:val="1A1A1A"/>
                <w:sz w:val="19"/>
              </w:rPr>
              <w:t>Total timestamps</w:t>
            </w:r>
          </w:p>
        </w:tc>
        <w:tc>
          <w:tcPr>
            <w:tcW w:type="dxa" w:w="6520"/>
            <w:vAlign w:val="center"/>
          </w:tcPr>
          <w:p>
            <w:pPr>
              <w:jc w:val="center"/>
            </w:pPr>
            <w:r>
              <w:rPr>
                <w:color w:val="1A1A1A"/>
                <w:sz w:val="19"/>
              </w:rPr>
              <w:t>6,587 (irregular — real-world sampling gaps)</w:t>
            </w:r>
          </w:p>
        </w:tc>
      </w:tr>
      <w:tr>
        <w:tc>
          <w:tcPr>
            <w:tcW w:type="dxa" w:w="2551"/>
            <w:shd w:val="clear" w:color="auto" w:fill="f4f7fb"/>
            <w:vAlign w:val="center"/>
          </w:tcPr>
          <w:p>
            <w:pPr>
              <w:jc w:val="left"/>
            </w:pPr>
            <w:r>
              <w:rPr>
                <w:color w:val="1A1A1A"/>
                <w:sz w:val="19"/>
              </w:rPr>
              <w:t>Text modality</w:t>
            </w:r>
          </w:p>
        </w:tc>
        <w:tc>
          <w:tcPr>
            <w:tcW w:type="dxa" w:w="6520"/>
            <w:shd w:val="clear" w:color="auto" w:fill="f4f7fb"/>
            <w:vAlign w:val="center"/>
          </w:tcPr>
          <w:p>
            <w:pPr>
              <w:jc w:val="center"/>
            </w:pPr>
            <w:r>
              <w:rPr>
                <w:color w:val="1A1A1A"/>
                <w:sz w:val="19"/>
              </w:rPr>
              <w:t>Weekly air quality and weather summaries per county</w:t>
            </w:r>
          </w:p>
        </w:tc>
      </w:tr>
      <w:tr>
        <w:tc>
          <w:tcPr>
            <w:tcW w:type="dxa" w:w="2551"/>
            <w:vAlign w:val="center"/>
          </w:tcPr>
          <w:p>
            <w:pPr>
              <w:jc w:val="left"/>
            </w:pPr>
            <w:r>
              <w:rPr>
                <w:color w:val="1A1A1A"/>
                <w:sz w:val="19"/>
              </w:rPr>
              <w:t>Text encoding</w:t>
            </w:r>
          </w:p>
        </w:tc>
        <w:tc>
          <w:tcPr>
            <w:tcW w:type="dxa" w:w="6520"/>
            <w:vAlign w:val="center"/>
          </w:tcPr>
          <w:p>
            <w:pPr>
              <w:jc w:val="center"/>
            </w:pPr>
            <w:r>
              <w:rPr>
                <w:color w:val="1A1A1A"/>
                <w:sz w:val="19"/>
              </w:rPr>
              <w:t>GPT-2 (768-dimensional embeddings, stored as .pt files)</w:t>
            </w:r>
          </w:p>
        </w:tc>
      </w:tr>
      <w:tr>
        <w:tc>
          <w:tcPr>
            <w:tcW w:type="dxa" w:w="2551"/>
            <w:shd w:val="clear" w:color="auto" w:fill="f4f7fb"/>
            <w:vAlign w:val="center"/>
          </w:tcPr>
          <w:p>
            <w:pPr>
              <w:jc w:val="left"/>
            </w:pPr>
            <w:r>
              <w:rPr>
                <w:color w:val="1A1A1A"/>
                <w:sz w:val="19"/>
              </w:rPr>
              <w:t>Prediction horizon</w:t>
            </w:r>
          </w:p>
        </w:tc>
        <w:tc>
          <w:tcPr>
            <w:tcW w:type="dxa" w:w="6520"/>
            <w:shd w:val="clear" w:color="auto" w:fill="f4f7fb"/>
            <w:vAlign w:val="center"/>
          </w:tcPr>
          <w:p>
            <w:pPr>
              <w:jc w:val="center"/>
            </w:pPr>
            <w:r>
              <w:rPr>
                <w:color w:val="1A1A1A"/>
                <w:sz w:val="19"/>
              </w:rPr>
              <w:t>7 days</w:t>
            </w:r>
          </w:p>
        </w:tc>
      </w:tr>
      <w:tr>
        <w:tc>
          <w:tcPr>
            <w:tcW w:type="dxa" w:w="2551"/>
            <w:vAlign w:val="center"/>
          </w:tcPr>
          <w:p>
            <w:pPr>
              <w:jc w:val="left"/>
            </w:pPr>
            <w:r>
              <w:rPr>
                <w:color w:val="1A1A1A"/>
                <w:sz w:val="19"/>
              </w:rPr>
              <w:t>History window</w:t>
            </w:r>
          </w:p>
        </w:tc>
        <w:tc>
          <w:tcPr>
            <w:tcW w:type="dxa" w:w="6520"/>
            <w:vAlign w:val="center"/>
          </w:tcPr>
          <w:p>
            <w:pPr>
              <w:jc w:val="center"/>
            </w:pPr>
            <w:r>
              <w:rPr>
                <w:color w:val="1A1A1A"/>
                <w:sz w:val="19"/>
              </w:rPr>
              <w:t>7 days</w:t>
            </w:r>
          </w:p>
        </w:tc>
      </w:tr>
      <w:tr>
        <w:tc>
          <w:tcPr>
            <w:tcW w:type="dxa" w:w="2551"/>
            <w:shd w:val="clear" w:color="auto" w:fill="f4f7fb"/>
            <w:vAlign w:val="center"/>
          </w:tcPr>
          <w:p>
            <w:pPr>
              <w:jc w:val="left"/>
            </w:pPr>
            <w:r>
              <w:rPr>
                <w:color w:val="1A1A1A"/>
                <w:sz w:val="19"/>
              </w:rPr>
              <w:t>Stride</w:t>
            </w:r>
          </w:p>
        </w:tc>
        <w:tc>
          <w:tcPr>
            <w:tcW w:type="dxa" w:w="6520"/>
            <w:shd w:val="clear" w:color="auto" w:fill="f4f7fb"/>
            <w:vAlign w:val="center"/>
          </w:tcPr>
          <w:p>
            <w:pPr>
              <w:jc w:val="center"/>
            </w:pPr>
            <w:r>
              <w:rPr>
                <w:color w:val="1A1A1A"/>
                <w:sz w:val="19"/>
              </w:rPr>
              <w:t>7 days</w:t>
            </w:r>
          </w:p>
        </w:tc>
      </w:tr>
      <w:tr>
        <w:tc>
          <w:tcPr>
            <w:tcW w:type="dxa" w:w="2551"/>
            <w:vAlign w:val="center"/>
          </w:tcPr>
          <w:p>
            <w:pPr>
              <w:jc w:val="left"/>
            </w:pPr>
            <w:r>
              <w:rPr>
                <w:color w:val="1A1A1A"/>
                <w:sz w:val="19"/>
              </w:rPr>
              <w:t>Train/Val/Test split</w:t>
            </w:r>
          </w:p>
        </w:tc>
        <w:tc>
          <w:tcPr>
            <w:tcW w:type="dxa" w:w="6520"/>
            <w:vAlign w:val="center"/>
          </w:tcPr>
          <w:p>
            <w:pPr>
              <w:jc w:val="center"/>
            </w:pPr>
            <w:r>
              <w:rPr>
                <w:color w:val="1A1A1A"/>
                <w:sz w:val="19"/>
              </w:rPr>
              <w:t>Sample method, seed=42</w:t>
            </w:r>
          </w:p>
        </w:tc>
      </w:tr>
    </w:tbl>
    <w:p>
      <w:pPr>
        <w:spacing w:after="80"/>
      </w:pPr>
    </w:p>
    <w:p>
      <w:pPr>
        <w:spacing w:after="160"/>
        <w:jc w:val="both"/>
      </w:pPr>
      <w:r>
        <w:rPr>
          <w:b w:val="0"/>
          <w:i w:val="0"/>
          <w:color w:val="1A1A1A"/>
          <w:sz w:val="22"/>
        </w:rPr>
        <w:t>The irregularity of the dataset is a key challenge: standard Transformer-based and linear models assume fixed time intervals, while ODE-based models (CRU, LatentODE, NeuralFlow) natively handle irregular spacing by modeling continuous-time dynamics. The text modality — weekly written summaries of air quality conditions — represents a distinct information source that the models must learn to integrate alongside numeric sensor readings.</w:t>
      </w:r>
    </w:p>
    <w:p>
      <w:pPr>
        <w:spacing w:before="360" w:after="120"/>
      </w:pPr>
      <w:r>
        <w:rPr>
          <w:b/>
          <w:color w:val="0A2540"/>
          <w:sz w:val="32"/>
        </w:rPr>
        <w:t>5. Framework and Configuration</w:t>
      </w:r>
    </w:p>
    <w:p>
      <w:pPr>
        <w:spacing w:after="160"/>
        <w:jc w:val="both"/>
      </w:pPr>
      <w:r>
        <w:rPr>
          <w:b w:val="0"/>
          <w:i w:val="0"/>
          <w:color w:val="1A1A1A"/>
          <w:sz w:val="22"/>
        </w:rPr>
        <w:t>All experiments use the official IMM-TSF framework from the paper's GitHub repository. The framework provides a shared main.py entry point for all 11 models, TTF and MMF fusion modules, and standardized MSE/MAE evaluation per run.</w:t>
      </w:r>
    </w:p>
    <w:p>
      <w:pPr>
        <w:spacing w:before="240" w:after="120"/>
      </w:pPr>
      <w:r>
        <w:rPr>
          <w:b/>
          <w:color w:val="0A2540"/>
          <w:sz w:val="23"/>
        </w:rPr>
        <w:t>Fusion Configuration (paper Appendix K.1)</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0a2540"/>
            <w:vAlign w:val="center"/>
          </w:tcPr>
          <w:p>
            <w:pPr>
              <w:jc w:val="center"/>
            </w:pPr>
            <w:r>
              <w:rPr>
                <w:b/>
                <w:color w:val="FFFFFF"/>
                <w:sz w:val="19"/>
              </w:rPr>
              <w:t>Parameter</w:t>
            </w:r>
          </w:p>
        </w:tc>
        <w:tc>
          <w:tcPr>
            <w:tcW w:type="dxa" w:w="2268"/>
            <w:shd w:val="clear" w:color="auto" w:fill="0a2540"/>
            <w:vAlign w:val="center"/>
          </w:tcPr>
          <w:p>
            <w:pPr>
              <w:jc w:val="center"/>
            </w:pPr>
            <w:r>
              <w:rPr>
                <w:b/>
                <w:color w:val="FFFFFF"/>
                <w:sz w:val="19"/>
              </w:rPr>
              <w:t>Value</w:t>
            </w:r>
          </w:p>
        </w:tc>
        <w:tc>
          <w:tcPr>
            <w:tcW w:type="dxa" w:w="4535"/>
            <w:shd w:val="clear" w:color="auto" w:fill="0a2540"/>
            <w:vAlign w:val="center"/>
          </w:tcPr>
          <w:p>
            <w:pPr>
              <w:jc w:val="center"/>
            </w:pPr>
            <w:r>
              <w:rPr>
                <w:b/>
                <w:color w:val="FFFFFF"/>
                <w:sz w:val="19"/>
              </w:rPr>
              <w:t>Description</w:t>
            </w:r>
          </w:p>
        </w:tc>
      </w:tr>
      <w:tr>
        <w:tc>
          <w:tcPr>
            <w:tcW w:type="dxa" w:w="2268"/>
            <w:vAlign w:val="center"/>
          </w:tcPr>
          <w:p>
            <w:pPr>
              <w:jc w:val="left"/>
            </w:pPr>
            <w:r>
              <w:rPr>
                <w:color w:val="1A1A1A"/>
                <w:sz w:val="19"/>
              </w:rPr>
              <w:t>TTF module</w:t>
            </w:r>
          </w:p>
        </w:tc>
        <w:tc>
          <w:tcPr>
            <w:tcW w:type="dxa" w:w="2268"/>
            <w:vAlign w:val="center"/>
          </w:tcPr>
          <w:p>
            <w:pPr>
              <w:jc w:val="center"/>
            </w:pPr>
            <w:r>
              <w:rPr>
                <w:color w:val="1A1A1A"/>
                <w:sz w:val="19"/>
              </w:rPr>
              <w:t>TTF_RecAvg</w:t>
            </w:r>
          </w:p>
        </w:tc>
        <w:tc>
          <w:tcPr>
            <w:tcW w:type="dxa" w:w="4535"/>
            <w:vAlign w:val="center"/>
          </w:tcPr>
          <w:p>
            <w:pPr>
              <w:jc w:val="center"/>
            </w:pPr>
            <w:r>
              <w:rPr>
                <w:color w:val="1A1A1A"/>
                <w:sz w:val="19"/>
              </w:rPr>
              <w:t>Recursive average pooling of text over time</w:t>
            </w:r>
          </w:p>
        </w:tc>
      </w:tr>
      <w:tr>
        <w:tc>
          <w:tcPr>
            <w:tcW w:type="dxa" w:w="2268"/>
            <w:shd w:val="clear" w:color="auto" w:fill="f4f7fb"/>
            <w:vAlign w:val="center"/>
          </w:tcPr>
          <w:p>
            <w:pPr>
              <w:jc w:val="left"/>
            </w:pPr>
            <w:r>
              <w:rPr>
                <w:color w:val="1A1A1A"/>
                <w:sz w:val="19"/>
              </w:rPr>
              <w:t>MMF module</w:t>
            </w:r>
          </w:p>
        </w:tc>
        <w:tc>
          <w:tcPr>
            <w:tcW w:type="dxa" w:w="2268"/>
            <w:shd w:val="clear" w:color="auto" w:fill="f4f7fb"/>
            <w:vAlign w:val="center"/>
          </w:tcPr>
          <w:p>
            <w:pPr>
              <w:jc w:val="center"/>
            </w:pPr>
            <w:r>
              <w:rPr>
                <w:color w:val="1A1A1A"/>
                <w:sz w:val="19"/>
              </w:rPr>
              <w:t>MMF_GR_Add</w:t>
            </w:r>
          </w:p>
        </w:tc>
        <w:tc>
          <w:tcPr>
            <w:tcW w:type="dxa" w:w="4535"/>
            <w:shd w:val="clear" w:color="auto" w:fill="f4f7fb"/>
            <w:vAlign w:val="center"/>
          </w:tcPr>
          <w:p>
            <w:pPr>
              <w:jc w:val="center"/>
            </w:pPr>
            <w:r>
              <w:rPr>
                <w:color w:val="1A1A1A"/>
                <w:sz w:val="19"/>
              </w:rPr>
              <w:t>Gated residual addition of text to numeric stream</w:t>
            </w:r>
          </w:p>
        </w:tc>
      </w:tr>
      <w:tr>
        <w:tc>
          <w:tcPr>
            <w:tcW w:type="dxa" w:w="2268"/>
            <w:vAlign w:val="center"/>
          </w:tcPr>
          <w:p>
            <w:pPr>
              <w:jc w:val="left"/>
            </w:pPr>
            <w:r>
              <w:rPr>
                <w:color w:val="1A1A1A"/>
                <w:sz w:val="19"/>
              </w:rPr>
              <w:t>LLM encoder</w:t>
            </w:r>
          </w:p>
        </w:tc>
        <w:tc>
          <w:tcPr>
            <w:tcW w:type="dxa" w:w="2268"/>
            <w:vAlign w:val="center"/>
          </w:tcPr>
          <w:p>
            <w:pPr>
              <w:jc w:val="center"/>
            </w:pPr>
            <w:r>
              <w:rPr>
                <w:color w:val="1A1A1A"/>
                <w:sz w:val="19"/>
              </w:rPr>
              <w:t>GPT-2</w:t>
            </w:r>
          </w:p>
        </w:tc>
        <w:tc>
          <w:tcPr>
            <w:tcW w:type="dxa" w:w="4535"/>
            <w:vAlign w:val="center"/>
          </w:tcPr>
          <w:p>
            <w:pPr>
              <w:jc w:val="center"/>
            </w:pPr>
            <w:r>
              <w:rPr>
                <w:color w:val="1A1A1A"/>
                <w:sz w:val="19"/>
              </w:rPr>
              <w:t>768-dim embeddings, frozen weights</w:t>
            </w:r>
          </w:p>
        </w:tc>
      </w:tr>
    </w:tbl>
    <w:p>
      <w:pPr>
        <w:spacing w:after="80"/>
      </w:pPr>
    </w:p>
    <w:p>
      <w:pPr>
        <w:spacing w:before="240" w:after="120"/>
      </w:pPr>
      <w:r>
        <w:rPr>
          <w:b/>
          <w:color w:val="0A2540"/>
          <w:sz w:val="23"/>
        </w:rPr>
        <w:t>Training Configuration</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0a2540"/>
            <w:vAlign w:val="center"/>
          </w:tcPr>
          <w:p>
            <w:pPr>
              <w:jc w:val="center"/>
            </w:pPr>
            <w:r>
              <w:rPr>
                <w:b/>
                <w:color w:val="FFFFFF"/>
                <w:sz w:val="19"/>
              </w:rPr>
              <w:t>Parameter</w:t>
            </w:r>
          </w:p>
        </w:tc>
        <w:tc>
          <w:tcPr>
            <w:tcW w:type="dxa" w:w="3118"/>
            <w:shd w:val="clear" w:color="auto" w:fill="0a2540"/>
            <w:vAlign w:val="center"/>
          </w:tcPr>
          <w:p>
            <w:pPr>
              <w:jc w:val="center"/>
            </w:pPr>
            <w:r>
              <w:rPr>
                <w:b/>
                <w:color w:val="FFFFFF"/>
                <w:sz w:val="19"/>
              </w:rPr>
              <w:t>Standard Models</w:t>
            </w:r>
          </w:p>
        </w:tc>
        <w:tc>
          <w:tcPr>
            <w:tcW w:type="dxa" w:w="3402"/>
            <w:shd w:val="clear" w:color="auto" w:fill="0a2540"/>
            <w:vAlign w:val="center"/>
          </w:tcPr>
          <w:p>
            <w:pPr>
              <w:jc w:val="center"/>
            </w:pPr>
            <w:r>
              <w:rPr>
                <w:b/>
                <w:color w:val="FFFFFF"/>
                <w:sz w:val="19"/>
              </w:rPr>
              <w:t>ODE Models (CRU, LatentODE, NeuralFlow)</w:t>
            </w:r>
          </w:p>
        </w:tc>
      </w:tr>
      <w:tr>
        <w:tc>
          <w:tcPr>
            <w:tcW w:type="dxa" w:w="2835"/>
            <w:vAlign w:val="center"/>
          </w:tcPr>
          <w:p>
            <w:pPr>
              <w:jc w:val="left"/>
            </w:pPr>
            <w:r>
              <w:rPr>
                <w:color w:val="1A1A1A"/>
                <w:sz w:val="19"/>
              </w:rPr>
              <w:t>Batch size</w:t>
            </w:r>
          </w:p>
        </w:tc>
        <w:tc>
          <w:tcPr>
            <w:tcW w:type="dxa" w:w="3118"/>
            <w:vAlign w:val="center"/>
          </w:tcPr>
          <w:p>
            <w:pPr>
              <w:jc w:val="center"/>
            </w:pPr>
            <w:r>
              <w:rPr>
                <w:color w:val="1A1A1A"/>
                <w:sz w:val="19"/>
              </w:rPr>
              <w:t>8</w:t>
            </w:r>
          </w:p>
        </w:tc>
        <w:tc>
          <w:tcPr>
            <w:tcW w:type="dxa" w:w="3402"/>
            <w:vAlign w:val="center"/>
          </w:tcPr>
          <w:p>
            <w:pPr>
              <w:jc w:val="center"/>
            </w:pPr>
            <w:r>
              <w:rPr>
                <w:color w:val="1A1A1A"/>
                <w:sz w:val="19"/>
              </w:rPr>
              <w:t>4</w:t>
            </w:r>
          </w:p>
        </w:tc>
      </w:tr>
      <w:tr>
        <w:tc>
          <w:tcPr>
            <w:tcW w:type="dxa" w:w="2835"/>
            <w:shd w:val="clear" w:color="auto" w:fill="f4f7fb"/>
            <w:vAlign w:val="center"/>
          </w:tcPr>
          <w:p>
            <w:pPr>
              <w:jc w:val="left"/>
            </w:pPr>
            <w:r>
              <w:rPr>
                <w:color w:val="1A1A1A"/>
                <w:sz w:val="19"/>
              </w:rPr>
              <w:t>Learning rate</w:t>
            </w:r>
          </w:p>
        </w:tc>
        <w:tc>
          <w:tcPr>
            <w:tcW w:type="dxa" w:w="3118"/>
            <w:shd w:val="clear" w:color="auto" w:fill="f4f7fb"/>
            <w:vAlign w:val="center"/>
          </w:tcPr>
          <w:p>
            <w:pPr>
              <w:jc w:val="center"/>
            </w:pPr>
            <w:r>
              <w:rPr>
                <w:color w:val="1A1A1A"/>
                <w:sz w:val="19"/>
              </w:rPr>
              <w:t>1e-3</w:t>
            </w:r>
          </w:p>
        </w:tc>
        <w:tc>
          <w:tcPr>
            <w:tcW w:type="dxa" w:w="3402"/>
            <w:shd w:val="clear" w:color="auto" w:fill="f4f7fb"/>
            <w:vAlign w:val="center"/>
          </w:tcPr>
          <w:p>
            <w:pPr>
              <w:jc w:val="center"/>
            </w:pPr>
            <w:r>
              <w:rPr>
                <w:color w:val="1A1A1A"/>
                <w:sz w:val="19"/>
              </w:rPr>
              <w:t>1e-3</w:t>
            </w:r>
          </w:p>
        </w:tc>
      </w:tr>
      <w:tr>
        <w:tc>
          <w:tcPr>
            <w:tcW w:type="dxa" w:w="2835"/>
            <w:vAlign w:val="center"/>
          </w:tcPr>
          <w:p>
            <w:pPr>
              <w:jc w:val="left"/>
            </w:pPr>
            <w:r>
              <w:rPr>
                <w:color w:val="1A1A1A"/>
                <w:sz w:val="19"/>
              </w:rPr>
              <w:t>Epochs</w:t>
            </w:r>
          </w:p>
        </w:tc>
        <w:tc>
          <w:tcPr>
            <w:tcW w:type="dxa" w:w="3118"/>
            <w:vAlign w:val="center"/>
          </w:tcPr>
          <w:p>
            <w:pPr>
              <w:jc w:val="center"/>
            </w:pPr>
            <w:r>
              <w:rPr>
                <w:color w:val="1A1A1A"/>
                <w:sz w:val="19"/>
              </w:rPr>
              <w:t>50 (paper default)</w:t>
            </w:r>
          </w:p>
        </w:tc>
        <w:tc>
          <w:tcPr>
            <w:tcW w:type="dxa" w:w="3402"/>
            <w:vAlign w:val="center"/>
          </w:tcPr>
          <w:p>
            <w:pPr>
              <w:jc w:val="center"/>
            </w:pPr>
            <w:r>
              <w:rPr>
                <w:color w:val="1A1A1A"/>
                <w:sz w:val="19"/>
              </w:rPr>
              <w:t>10 (compute constraint — see Section 10)</w:t>
            </w:r>
          </w:p>
        </w:tc>
      </w:tr>
      <w:tr>
        <w:tc>
          <w:tcPr>
            <w:tcW w:type="dxa" w:w="2835"/>
            <w:shd w:val="clear" w:color="auto" w:fill="f4f7fb"/>
            <w:vAlign w:val="center"/>
          </w:tcPr>
          <w:p>
            <w:pPr>
              <w:jc w:val="left"/>
            </w:pPr>
            <w:r>
              <w:rPr>
                <w:color w:val="1A1A1A"/>
                <w:sz w:val="19"/>
              </w:rPr>
              <w:t>Early stopping patience</w:t>
            </w:r>
          </w:p>
        </w:tc>
        <w:tc>
          <w:tcPr>
            <w:tcW w:type="dxa" w:w="3118"/>
            <w:shd w:val="clear" w:color="auto" w:fill="f4f7fb"/>
            <w:vAlign w:val="center"/>
          </w:tcPr>
          <w:p>
            <w:pPr>
              <w:jc w:val="center"/>
            </w:pPr>
            <w:r>
              <w:rPr>
                <w:color w:val="1A1A1A"/>
                <w:sz w:val="19"/>
              </w:rPr>
              <w:t>10</w:t>
            </w:r>
          </w:p>
        </w:tc>
        <w:tc>
          <w:tcPr>
            <w:tcW w:type="dxa" w:w="3402"/>
            <w:shd w:val="clear" w:color="auto" w:fill="f4f7fb"/>
            <w:vAlign w:val="center"/>
          </w:tcPr>
          <w:p>
            <w:pPr>
              <w:jc w:val="center"/>
            </w:pPr>
            <w:r>
              <w:rPr>
                <w:color w:val="1A1A1A"/>
                <w:sz w:val="19"/>
              </w:rPr>
              <w:t>3</w:t>
            </w:r>
          </w:p>
        </w:tc>
      </w:tr>
      <w:tr>
        <w:tc>
          <w:tcPr>
            <w:tcW w:type="dxa" w:w="2835"/>
            <w:vAlign w:val="center"/>
          </w:tcPr>
          <w:p>
            <w:pPr>
              <w:jc w:val="left"/>
            </w:pPr>
            <w:r>
              <w:rPr>
                <w:color w:val="1A1A1A"/>
                <w:sz w:val="19"/>
              </w:rPr>
              <w:t>Seed</w:t>
            </w:r>
          </w:p>
        </w:tc>
        <w:tc>
          <w:tcPr>
            <w:tcW w:type="dxa" w:w="3118"/>
            <w:vAlign w:val="center"/>
          </w:tcPr>
          <w:p>
            <w:pPr>
              <w:jc w:val="center"/>
            </w:pPr>
            <w:r>
              <w:rPr>
                <w:color w:val="1A1A1A"/>
                <w:sz w:val="19"/>
              </w:rPr>
              <w:t>42</w:t>
            </w:r>
          </w:p>
        </w:tc>
        <w:tc>
          <w:tcPr>
            <w:tcW w:type="dxa" w:w="3402"/>
            <w:vAlign w:val="center"/>
          </w:tcPr>
          <w:p>
            <w:pPr>
              <w:jc w:val="center"/>
            </w:pPr>
            <w:r>
              <w:rPr>
                <w:color w:val="1A1A1A"/>
                <w:sz w:val="19"/>
              </w:rPr>
              <w:t>42</w:t>
            </w:r>
          </w:p>
        </w:tc>
      </w:tr>
      <w:tr>
        <w:tc>
          <w:tcPr>
            <w:tcW w:type="dxa" w:w="2835"/>
            <w:shd w:val="clear" w:color="auto" w:fill="f4f7fb"/>
            <w:vAlign w:val="center"/>
          </w:tcPr>
          <w:p>
            <w:pPr>
              <w:jc w:val="left"/>
            </w:pPr>
            <w:r>
              <w:rPr>
                <w:color w:val="1A1A1A"/>
                <w:sz w:val="19"/>
              </w:rPr>
              <w:t>GPU</w:t>
            </w:r>
          </w:p>
        </w:tc>
        <w:tc>
          <w:tcPr>
            <w:tcW w:type="dxa" w:w="3118"/>
            <w:shd w:val="clear" w:color="auto" w:fill="f4f7fb"/>
            <w:vAlign w:val="center"/>
          </w:tcPr>
          <w:p>
            <w:pPr>
              <w:jc w:val="center"/>
            </w:pPr>
            <w:r>
              <w:rPr>
                <w:color w:val="1A1A1A"/>
                <w:sz w:val="19"/>
              </w:rPr>
              <w:t>NVIDIA A100 (Colab Pro)</w:t>
            </w:r>
          </w:p>
        </w:tc>
        <w:tc>
          <w:tcPr>
            <w:tcW w:type="dxa" w:w="3402"/>
            <w:shd w:val="clear" w:color="auto" w:fill="f4f7fb"/>
            <w:vAlign w:val="center"/>
          </w:tcPr>
          <w:p>
            <w:pPr>
              <w:jc w:val="center"/>
            </w:pPr>
            <w:r>
              <w:rPr>
                <w:color w:val="1A1A1A"/>
                <w:sz w:val="19"/>
              </w:rPr>
              <w:t>NVIDIA A100 (Colab Pro)</w:t>
            </w:r>
          </w:p>
        </w:tc>
      </w:tr>
    </w:tbl>
    <w:p>
      <w:pPr>
        <w:spacing w:after="80"/>
      </w:pPr>
    </w:p>
    <w:p>
      <w:pPr>
        <w:spacing w:after="200"/>
        <w:ind w:left="283"/>
      </w:pPr>
      <w:r>
        <w:rPr>
          <w:i/>
          <w:color w:val="333333"/>
          <w:sz w:val="21"/>
        </w:rPr>
        <w:t>Note on ODE epochs: The paper trained ODE models for 50 epochs (~60 min/run on A100). Due to Google Colab Pro compute unit exhaustion, we were limited to 10 epochs (~25 min/run). This directly explains the 10–15% MSE gap for CRU and LatentODE vs paper values.</w:t>
      </w:r>
    </w:p>
    <w:p>
      <w:pPr>
        <w:spacing w:before="360" w:after="120"/>
      </w:pPr>
      <w:r>
        <w:rPr>
          <w:b/>
          <w:color w:val="0A2540"/>
          <w:sz w:val="32"/>
        </w:rPr>
        <w:t>6. Models Evaluated</w:t>
      </w:r>
    </w:p>
    <w:p>
      <w:pPr>
        <w:spacing w:before="240" w:after="120"/>
      </w:pPr>
      <w:r>
        <w:rPr>
          <w:b/>
          <w:color w:val="0A2540"/>
          <w:sz w:val="26"/>
        </w:rPr>
        <w:t>6.1 Regular Time Series Forecasters</w:t>
      </w:r>
    </w:p>
    <w:p>
      <w:pPr>
        <w:spacing w:after="160"/>
        <w:jc w:val="both"/>
      </w:pPr>
      <w:r>
        <w:rPr>
          <w:b w:val="0"/>
          <w:i w:val="0"/>
          <w:color w:val="1A1A1A"/>
          <w:sz w:val="22"/>
        </w:rPr>
        <w:t>These models assume regular (or near-regular) time spacing and represent the standard baselines in forecasting research.</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0a2540"/>
            <w:vAlign w:val="center"/>
          </w:tcPr>
          <w:p>
            <w:pPr>
              <w:jc w:val="center"/>
            </w:pPr>
            <w:r>
              <w:rPr>
                <w:b/>
                <w:color w:val="FFFFFF"/>
                <w:sz w:val="19"/>
              </w:rPr>
              <w:t>Model</w:t>
            </w:r>
          </w:p>
        </w:tc>
        <w:tc>
          <w:tcPr>
            <w:tcW w:type="dxa" w:w="2551"/>
            <w:shd w:val="clear" w:color="auto" w:fill="0a2540"/>
            <w:vAlign w:val="center"/>
          </w:tcPr>
          <w:p>
            <w:pPr>
              <w:jc w:val="center"/>
            </w:pPr>
            <w:r>
              <w:rPr>
                <w:b/>
                <w:color w:val="FFFFFF"/>
                <w:sz w:val="19"/>
              </w:rPr>
              <w:t>Architecture</w:t>
            </w:r>
          </w:p>
        </w:tc>
        <w:tc>
          <w:tcPr>
            <w:tcW w:type="dxa" w:w="4819"/>
            <w:shd w:val="clear" w:color="auto" w:fill="0a2540"/>
            <w:vAlign w:val="center"/>
          </w:tcPr>
          <w:p>
            <w:pPr>
              <w:jc w:val="center"/>
            </w:pPr>
            <w:r>
              <w:rPr>
                <w:b/>
                <w:color w:val="FFFFFF"/>
                <w:sz w:val="19"/>
              </w:rPr>
              <w:t>Key Idea</w:t>
            </w:r>
          </w:p>
        </w:tc>
      </w:tr>
      <w:tr>
        <w:tc>
          <w:tcPr>
            <w:tcW w:type="dxa" w:w="1701"/>
            <w:vAlign w:val="center"/>
          </w:tcPr>
          <w:p>
            <w:pPr>
              <w:jc w:val="left"/>
            </w:pPr>
            <w:r>
              <w:rPr>
                <w:color w:val="1A1A1A"/>
                <w:sz w:val="19"/>
              </w:rPr>
              <w:t>DLinear</w:t>
            </w:r>
          </w:p>
        </w:tc>
        <w:tc>
          <w:tcPr>
            <w:tcW w:type="dxa" w:w="2551"/>
            <w:vAlign w:val="center"/>
          </w:tcPr>
          <w:p>
            <w:pPr>
              <w:jc w:val="center"/>
            </w:pPr>
            <w:r>
              <w:rPr>
                <w:color w:val="1A1A1A"/>
                <w:sz w:val="19"/>
              </w:rPr>
              <w:t>Decomposed Linear Projection</w:t>
            </w:r>
          </w:p>
        </w:tc>
        <w:tc>
          <w:tcPr>
            <w:tcW w:type="dxa" w:w="4819"/>
            <w:vAlign w:val="center"/>
          </w:tcPr>
          <w:p>
            <w:pPr>
              <w:jc w:val="center"/>
            </w:pPr>
            <w:r>
              <w:rPr>
                <w:color w:val="1A1A1A"/>
                <w:sz w:val="19"/>
              </w:rPr>
              <w:t>Separates trend and seasonal components; surprisingly strong baseline</w:t>
            </w:r>
          </w:p>
        </w:tc>
      </w:tr>
      <w:tr>
        <w:tc>
          <w:tcPr>
            <w:tcW w:type="dxa" w:w="1701"/>
            <w:shd w:val="clear" w:color="auto" w:fill="f4f7fb"/>
            <w:vAlign w:val="center"/>
          </w:tcPr>
          <w:p>
            <w:pPr>
              <w:jc w:val="left"/>
            </w:pPr>
            <w:r>
              <w:rPr>
                <w:color w:val="1A1A1A"/>
                <w:sz w:val="19"/>
              </w:rPr>
              <w:t>Informer</w:t>
            </w:r>
          </w:p>
        </w:tc>
        <w:tc>
          <w:tcPr>
            <w:tcW w:type="dxa" w:w="2551"/>
            <w:shd w:val="clear" w:color="auto" w:fill="f4f7fb"/>
            <w:vAlign w:val="center"/>
          </w:tcPr>
          <w:p>
            <w:pPr>
              <w:jc w:val="center"/>
            </w:pPr>
            <w:r>
              <w:rPr>
                <w:color w:val="1A1A1A"/>
                <w:sz w:val="19"/>
              </w:rPr>
              <w:t>Sparse Self-Attention Transformer</w:t>
            </w:r>
          </w:p>
        </w:tc>
        <w:tc>
          <w:tcPr>
            <w:tcW w:type="dxa" w:w="4819"/>
            <w:shd w:val="clear" w:color="auto" w:fill="f4f7fb"/>
            <w:vAlign w:val="center"/>
          </w:tcPr>
          <w:p>
            <w:pPr>
              <w:jc w:val="center"/>
            </w:pPr>
            <w:r>
              <w:rPr>
                <w:color w:val="1A1A1A"/>
                <w:sz w:val="19"/>
              </w:rPr>
              <w:t>ProbSparse attention reduces O(N²) cost; designed for long-range dependencies</w:t>
            </w:r>
          </w:p>
        </w:tc>
      </w:tr>
      <w:tr>
        <w:tc>
          <w:tcPr>
            <w:tcW w:type="dxa" w:w="1701"/>
            <w:vAlign w:val="center"/>
          </w:tcPr>
          <w:p>
            <w:pPr>
              <w:jc w:val="left"/>
            </w:pPr>
            <w:r>
              <w:rPr>
                <w:color w:val="1A1A1A"/>
                <w:sz w:val="19"/>
              </w:rPr>
              <w:t>PatchTST</w:t>
            </w:r>
          </w:p>
        </w:tc>
        <w:tc>
          <w:tcPr>
            <w:tcW w:type="dxa" w:w="2551"/>
            <w:vAlign w:val="center"/>
          </w:tcPr>
          <w:p>
            <w:pPr>
              <w:jc w:val="center"/>
            </w:pPr>
            <w:r>
              <w:rPr>
                <w:color w:val="1A1A1A"/>
                <w:sz w:val="19"/>
              </w:rPr>
              <w:t>Patch-Tokenized Transformer</w:t>
            </w:r>
          </w:p>
        </w:tc>
        <w:tc>
          <w:tcPr>
            <w:tcW w:type="dxa" w:w="4819"/>
            <w:vAlign w:val="center"/>
          </w:tcPr>
          <w:p>
            <w:pPr>
              <w:jc w:val="center"/>
            </w:pPr>
            <w:r>
              <w:rPr>
                <w:color w:val="1A1A1A"/>
                <w:sz w:val="19"/>
              </w:rPr>
              <w:t>Divides time series into patches (subseries tokens); more local context per token</w:t>
            </w:r>
          </w:p>
        </w:tc>
      </w:tr>
      <w:tr>
        <w:tc>
          <w:tcPr>
            <w:tcW w:type="dxa" w:w="1701"/>
            <w:shd w:val="clear" w:color="auto" w:fill="f4f7fb"/>
            <w:vAlign w:val="center"/>
          </w:tcPr>
          <w:p>
            <w:pPr>
              <w:jc w:val="left"/>
            </w:pPr>
            <w:r>
              <w:rPr>
                <w:color w:val="1A1A1A"/>
                <w:sz w:val="19"/>
              </w:rPr>
              <w:t>TimesNet</w:t>
            </w:r>
          </w:p>
        </w:tc>
        <w:tc>
          <w:tcPr>
            <w:tcW w:type="dxa" w:w="2551"/>
            <w:shd w:val="clear" w:color="auto" w:fill="f4f7fb"/>
            <w:vAlign w:val="center"/>
          </w:tcPr>
          <w:p>
            <w:pPr>
              <w:jc w:val="center"/>
            </w:pPr>
            <w:r>
              <w:rPr>
                <w:color w:val="1A1A1A"/>
                <w:sz w:val="19"/>
              </w:rPr>
              <w:t>2D Temporal Variation Network</w:t>
            </w:r>
          </w:p>
        </w:tc>
        <w:tc>
          <w:tcPr>
            <w:tcW w:type="dxa" w:w="4819"/>
            <w:shd w:val="clear" w:color="auto" w:fill="f4f7fb"/>
            <w:vAlign w:val="center"/>
          </w:tcPr>
          <w:p>
            <w:pPr>
              <w:jc w:val="center"/>
            </w:pPr>
            <w:r>
              <w:rPr>
                <w:color w:val="1A1A1A"/>
                <w:sz w:val="19"/>
              </w:rPr>
              <w:t>FFT identifies periods; reshapes 1D series into 2D for Conv processing</w:t>
            </w:r>
          </w:p>
        </w:tc>
      </w:tr>
      <w:tr>
        <w:tc>
          <w:tcPr>
            <w:tcW w:type="dxa" w:w="1701"/>
            <w:vAlign w:val="center"/>
          </w:tcPr>
          <w:p>
            <w:pPr>
              <w:jc w:val="left"/>
            </w:pPr>
            <w:r>
              <w:rPr>
                <w:color w:val="1A1A1A"/>
                <w:sz w:val="19"/>
              </w:rPr>
              <w:t>TimeMixer</w:t>
            </w:r>
          </w:p>
        </w:tc>
        <w:tc>
          <w:tcPr>
            <w:tcW w:type="dxa" w:w="2551"/>
            <w:vAlign w:val="center"/>
          </w:tcPr>
          <w:p>
            <w:pPr>
              <w:jc w:val="center"/>
            </w:pPr>
            <w:r>
              <w:rPr>
                <w:color w:val="1A1A1A"/>
                <w:sz w:val="19"/>
              </w:rPr>
              <w:t>Multi-Scale MLP Mixing</w:t>
            </w:r>
          </w:p>
        </w:tc>
        <w:tc>
          <w:tcPr>
            <w:tcW w:type="dxa" w:w="4819"/>
            <w:vAlign w:val="center"/>
          </w:tcPr>
          <w:p>
            <w:pPr>
              <w:jc w:val="center"/>
            </w:pPr>
            <w:r>
              <w:rPr>
                <w:color w:val="1A1A1A"/>
                <w:sz w:val="19"/>
              </w:rPr>
              <w:t>Decomposition + multi-resolution MLP mixing without attention</w:t>
            </w:r>
          </w:p>
        </w:tc>
      </w:tr>
    </w:tbl>
    <w:p>
      <w:pPr>
        <w:spacing w:after="80"/>
      </w:pPr>
    </w:p>
    <w:p>
      <w:pPr>
        <w:spacing w:before="240" w:after="120"/>
      </w:pPr>
      <w:r>
        <w:rPr>
          <w:b/>
          <w:color w:val="0A2540"/>
          <w:sz w:val="26"/>
        </w:rPr>
        <w:t>6.2 Large Pretrained Models</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0a2540"/>
            <w:vAlign w:val="center"/>
          </w:tcPr>
          <w:p>
            <w:pPr>
              <w:jc w:val="center"/>
            </w:pPr>
            <w:r>
              <w:rPr>
                <w:b/>
                <w:color w:val="FFFFFF"/>
                <w:sz w:val="19"/>
              </w:rPr>
              <w:t>Model</w:t>
            </w:r>
          </w:p>
        </w:tc>
        <w:tc>
          <w:tcPr>
            <w:tcW w:type="dxa" w:w="2551"/>
            <w:shd w:val="clear" w:color="auto" w:fill="0a2540"/>
            <w:vAlign w:val="center"/>
          </w:tcPr>
          <w:p>
            <w:pPr>
              <w:jc w:val="center"/>
            </w:pPr>
            <w:r>
              <w:rPr>
                <w:b/>
                <w:color w:val="FFFFFF"/>
                <w:sz w:val="19"/>
              </w:rPr>
              <w:t>Backbone</w:t>
            </w:r>
          </w:p>
        </w:tc>
        <w:tc>
          <w:tcPr>
            <w:tcW w:type="dxa" w:w="4819"/>
            <w:shd w:val="clear" w:color="auto" w:fill="0a2540"/>
            <w:vAlign w:val="center"/>
          </w:tcPr>
          <w:p>
            <w:pPr>
              <w:jc w:val="center"/>
            </w:pPr>
            <w:r>
              <w:rPr>
                <w:b/>
                <w:color w:val="FFFFFF"/>
                <w:sz w:val="19"/>
              </w:rPr>
              <w:t>Key Idea</w:t>
            </w:r>
          </w:p>
        </w:tc>
      </w:tr>
      <w:tr>
        <w:tc>
          <w:tcPr>
            <w:tcW w:type="dxa" w:w="1701"/>
            <w:vAlign w:val="center"/>
          </w:tcPr>
          <w:p>
            <w:pPr>
              <w:jc w:val="left"/>
            </w:pPr>
            <w:r>
              <w:rPr>
                <w:color w:val="1A1A1A"/>
                <w:sz w:val="19"/>
              </w:rPr>
              <w:t>TimeLLM</w:t>
            </w:r>
          </w:p>
        </w:tc>
        <w:tc>
          <w:tcPr>
            <w:tcW w:type="dxa" w:w="2551"/>
            <w:vAlign w:val="center"/>
          </w:tcPr>
          <w:p>
            <w:pPr>
              <w:jc w:val="center"/>
            </w:pPr>
            <w:r>
              <w:rPr>
                <w:color w:val="1A1A1A"/>
                <w:sz w:val="19"/>
              </w:rPr>
              <w:t>GPT-2 (reprogrammed)</w:t>
            </w:r>
          </w:p>
        </w:tc>
        <w:tc>
          <w:tcPr>
            <w:tcW w:type="dxa" w:w="4819"/>
            <w:vAlign w:val="center"/>
          </w:tcPr>
          <w:p>
            <w:pPr>
              <w:jc w:val="center"/>
            </w:pPr>
            <w:r>
              <w:rPr>
                <w:color w:val="1A1A1A"/>
                <w:sz w:val="19"/>
              </w:rPr>
              <w:t>Reprograms LLM with TS patch tokens via prompt reprogramming; LLM backbone frozen; TS representation projected into LLM embedding space</w:t>
            </w:r>
          </w:p>
        </w:tc>
      </w:tr>
      <w:tr>
        <w:tc>
          <w:tcPr>
            <w:tcW w:type="dxa" w:w="1701"/>
            <w:shd w:val="clear" w:color="auto" w:fill="f4f7fb"/>
            <w:vAlign w:val="center"/>
          </w:tcPr>
          <w:p>
            <w:pPr>
              <w:jc w:val="left"/>
            </w:pPr>
            <w:r>
              <w:rPr>
                <w:color w:val="1A1A1A"/>
                <w:sz w:val="19"/>
              </w:rPr>
              <w:t>TTM</w:t>
            </w:r>
          </w:p>
        </w:tc>
        <w:tc>
          <w:tcPr>
            <w:tcW w:type="dxa" w:w="2551"/>
            <w:shd w:val="clear" w:color="auto" w:fill="f4f7fb"/>
            <w:vAlign w:val="center"/>
          </w:tcPr>
          <w:p>
            <w:pPr>
              <w:jc w:val="center"/>
            </w:pPr>
            <w:r>
              <w:rPr>
                <w:color w:val="1A1A1A"/>
                <w:sz w:val="19"/>
              </w:rPr>
              <w:t>TinyTimeMixer (IBM Research)</w:t>
            </w:r>
          </w:p>
        </w:tc>
        <w:tc>
          <w:tcPr>
            <w:tcW w:type="dxa" w:w="4819"/>
            <w:shd w:val="clear" w:color="auto" w:fill="f4f7fb"/>
            <w:vAlign w:val="center"/>
          </w:tcPr>
          <w:p>
            <w:pPr>
              <w:jc w:val="center"/>
            </w:pPr>
            <w:r>
              <w:rPr>
                <w:color w:val="1A1A1A"/>
                <w:sz w:val="19"/>
              </w:rPr>
              <w:t>Foundation model pretrained on 1B time series samples; fine-tuned on EPA-Air; minimal task-specific adaptation required</w:t>
            </w:r>
          </w:p>
        </w:tc>
      </w:tr>
    </w:tbl>
    <w:p>
      <w:pPr>
        <w:spacing w:after="80"/>
      </w:pPr>
    </w:p>
    <w:p>
      <w:pPr>
        <w:spacing w:before="240" w:after="120"/>
      </w:pPr>
      <w:r>
        <w:rPr>
          <w:b/>
          <w:color w:val="0A2540"/>
          <w:sz w:val="26"/>
        </w:rPr>
        <w:t>6.3 ODE-Based Irregular Time Series Models</w:t>
      </w:r>
    </w:p>
    <w:p>
      <w:pPr>
        <w:spacing w:after="160"/>
        <w:jc w:val="both"/>
      </w:pPr>
      <w:r>
        <w:rPr>
          <w:b w:val="0"/>
          <w:i w:val="0"/>
          <w:color w:val="1A1A1A"/>
          <w:sz w:val="22"/>
        </w:rPr>
        <w:t>These models handle irregular timestamps natively by learning continuous-time dynamics using Neural Ordinary Differential Equations (ODEs).</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0a2540"/>
            <w:vAlign w:val="center"/>
          </w:tcPr>
          <w:p>
            <w:pPr>
              <w:jc w:val="center"/>
            </w:pPr>
            <w:r>
              <w:rPr>
                <w:b/>
                <w:color w:val="FFFFFF"/>
                <w:sz w:val="19"/>
              </w:rPr>
              <w:t>Model</w:t>
            </w:r>
          </w:p>
        </w:tc>
        <w:tc>
          <w:tcPr>
            <w:tcW w:type="dxa" w:w="2551"/>
            <w:shd w:val="clear" w:color="auto" w:fill="0a2540"/>
            <w:vAlign w:val="center"/>
          </w:tcPr>
          <w:p>
            <w:pPr>
              <w:jc w:val="center"/>
            </w:pPr>
            <w:r>
              <w:rPr>
                <w:b/>
                <w:color w:val="FFFFFF"/>
                <w:sz w:val="19"/>
              </w:rPr>
              <w:t>Architecture</w:t>
            </w:r>
          </w:p>
        </w:tc>
        <w:tc>
          <w:tcPr>
            <w:tcW w:type="dxa" w:w="4819"/>
            <w:shd w:val="clear" w:color="auto" w:fill="0a2540"/>
            <w:vAlign w:val="center"/>
          </w:tcPr>
          <w:p>
            <w:pPr>
              <w:jc w:val="center"/>
            </w:pPr>
            <w:r>
              <w:rPr>
                <w:b/>
                <w:color w:val="FFFFFF"/>
                <w:sz w:val="19"/>
              </w:rPr>
              <w:t>Key Idea</w:t>
            </w:r>
          </w:p>
        </w:tc>
      </w:tr>
      <w:tr>
        <w:tc>
          <w:tcPr>
            <w:tcW w:type="dxa" w:w="1701"/>
            <w:vAlign w:val="center"/>
          </w:tcPr>
          <w:p>
            <w:pPr>
              <w:jc w:val="left"/>
            </w:pPr>
            <w:r>
              <w:rPr>
                <w:color w:val="1A1A1A"/>
                <w:sz w:val="19"/>
              </w:rPr>
              <w:t>CRU</w:t>
            </w:r>
          </w:p>
        </w:tc>
        <w:tc>
          <w:tcPr>
            <w:tcW w:type="dxa" w:w="2551"/>
            <w:vAlign w:val="center"/>
          </w:tcPr>
          <w:p>
            <w:pPr>
              <w:jc w:val="center"/>
            </w:pPr>
            <w:r>
              <w:rPr>
                <w:color w:val="1A1A1A"/>
                <w:sz w:val="19"/>
              </w:rPr>
              <w:t>Continuous-Time Recurrent Unit</w:t>
            </w:r>
          </w:p>
        </w:tc>
        <w:tc>
          <w:tcPr>
            <w:tcW w:type="dxa" w:w="4819"/>
            <w:vAlign w:val="center"/>
          </w:tcPr>
          <w:p>
            <w:pPr>
              <w:jc w:val="center"/>
            </w:pPr>
            <w:r>
              <w:rPr>
                <w:color w:val="1A1A1A"/>
                <w:sz w:val="19"/>
              </w:rPr>
              <w:t>Combines RNN gating with ODE-based hidden state evolution; provides calibrated uncertainty estimation</w:t>
            </w:r>
          </w:p>
        </w:tc>
      </w:tr>
      <w:tr>
        <w:tc>
          <w:tcPr>
            <w:tcW w:type="dxa" w:w="1701"/>
            <w:shd w:val="clear" w:color="auto" w:fill="f4f7fb"/>
            <w:vAlign w:val="center"/>
          </w:tcPr>
          <w:p>
            <w:pPr>
              <w:jc w:val="left"/>
            </w:pPr>
            <w:r>
              <w:rPr>
                <w:color w:val="1A1A1A"/>
                <w:sz w:val="19"/>
              </w:rPr>
              <w:t>LatentODE</w:t>
            </w:r>
          </w:p>
        </w:tc>
        <w:tc>
          <w:tcPr>
            <w:tcW w:type="dxa" w:w="2551"/>
            <w:shd w:val="clear" w:color="auto" w:fill="f4f7fb"/>
            <w:vAlign w:val="center"/>
          </w:tcPr>
          <w:p>
            <w:pPr>
              <w:jc w:val="center"/>
            </w:pPr>
            <w:r>
              <w:rPr>
                <w:color w:val="1A1A1A"/>
                <w:sz w:val="19"/>
              </w:rPr>
              <w:t>Variational Latent ODE</w:t>
            </w:r>
          </w:p>
        </w:tc>
        <w:tc>
          <w:tcPr>
            <w:tcW w:type="dxa" w:w="4819"/>
            <w:shd w:val="clear" w:color="auto" w:fill="f4f7fb"/>
            <w:vAlign w:val="center"/>
          </w:tcPr>
          <w:p>
            <w:pPr>
              <w:jc w:val="center"/>
            </w:pPr>
            <w:r>
              <w:rPr>
                <w:color w:val="1A1A1A"/>
                <w:sz w:val="19"/>
              </w:rPr>
              <w:t>VAE encoder maps observations to latent space; ODE evolves latent state; decoder generates predictions</w:t>
            </w:r>
          </w:p>
        </w:tc>
      </w:tr>
      <w:tr>
        <w:tc>
          <w:tcPr>
            <w:tcW w:type="dxa" w:w="1701"/>
            <w:vAlign w:val="center"/>
          </w:tcPr>
          <w:p>
            <w:pPr>
              <w:jc w:val="left"/>
            </w:pPr>
            <w:r>
              <w:rPr>
                <w:color w:val="1A1A1A"/>
                <w:sz w:val="19"/>
              </w:rPr>
              <w:t>NeuralFlow</w:t>
            </w:r>
          </w:p>
        </w:tc>
        <w:tc>
          <w:tcPr>
            <w:tcW w:type="dxa" w:w="2551"/>
            <w:vAlign w:val="center"/>
          </w:tcPr>
          <w:p>
            <w:pPr>
              <w:jc w:val="center"/>
            </w:pPr>
            <w:r>
              <w:rPr>
                <w:color w:val="1A1A1A"/>
                <w:sz w:val="19"/>
              </w:rPr>
              <w:t>Neural ODE + Normalizing Flows</w:t>
            </w:r>
          </w:p>
        </w:tc>
        <w:tc>
          <w:tcPr>
            <w:tcW w:type="dxa" w:w="4819"/>
            <w:vAlign w:val="center"/>
          </w:tcPr>
          <w:p>
            <w:pPr>
              <w:jc w:val="center"/>
            </w:pPr>
            <w:r>
              <w:rPr>
                <w:color w:val="1A1A1A"/>
                <w:sz w:val="19"/>
              </w:rPr>
              <w:t>Models flexible density over continuous trajectories; most expressive of the three ODE models</w:t>
            </w:r>
          </w:p>
        </w:tc>
      </w:tr>
    </w:tbl>
    <w:p>
      <w:pPr>
        <w:spacing w:after="80"/>
      </w:pPr>
    </w:p>
    <w:p>
      <w:pPr>
        <w:spacing w:before="240" w:after="120"/>
      </w:pPr>
      <w:r>
        <w:rPr>
          <w:b/>
          <w:color w:val="0A2540"/>
          <w:sz w:val="26"/>
        </w:rPr>
        <w:t>6.4 Graph-Based Model</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0a2540"/>
            <w:vAlign w:val="center"/>
          </w:tcPr>
          <w:p>
            <w:pPr>
              <w:jc w:val="center"/>
            </w:pPr>
            <w:r>
              <w:rPr>
                <w:b/>
                <w:color w:val="FFFFFF"/>
                <w:sz w:val="19"/>
              </w:rPr>
              <w:t>Model</w:t>
            </w:r>
          </w:p>
        </w:tc>
        <w:tc>
          <w:tcPr>
            <w:tcW w:type="dxa" w:w="2551"/>
            <w:shd w:val="clear" w:color="auto" w:fill="0a2540"/>
            <w:vAlign w:val="center"/>
          </w:tcPr>
          <w:p>
            <w:pPr>
              <w:jc w:val="center"/>
            </w:pPr>
            <w:r>
              <w:rPr>
                <w:b/>
                <w:color w:val="FFFFFF"/>
                <w:sz w:val="19"/>
              </w:rPr>
              <w:t>Architecture</w:t>
            </w:r>
          </w:p>
        </w:tc>
        <w:tc>
          <w:tcPr>
            <w:tcW w:type="dxa" w:w="4819"/>
            <w:shd w:val="clear" w:color="auto" w:fill="0a2540"/>
            <w:vAlign w:val="center"/>
          </w:tcPr>
          <w:p>
            <w:pPr>
              <w:jc w:val="center"/>
            </w:pPr>
            <w:r>
              <w:rPr>
                <w:b/>
                <w:color w:val="FFFFFF"/>
                <w:sz w:val="19"/>
              </w:rPr>
              <w:t>Key Idea</w:t>
            </w:r>
          </w:p>
        </w:tc>
      </w:tr>
      <w:tr>
        <w:tc>
          <w:tcPr>
            <w:tcW w:type="dxa" w:w="1701"/>
            <w:vAlign w:val="center"/>
          </w:tcPr>
          <w:p>
            <w:pPr>
              <w:jc w:val="left"/>
            </w:pPr>
            <w:r>
              <w:rPr>
                <w:color w:val="1A1A1A"/>
                <w:sz w:val="19"/>
              </w:rPr>
              <w:t>tPatchGNN</w:t>
            </w:r>
          </w:p>
        </w:tc>
        <w:tc>
          <w:tcPr>
            <w:tcW w:type="dxa" w:w="2551"/>
            <w:vAlign w:val="center"/>
          </w:tcPr>
          <w:p>
            <w:pPr>
              <w:jc w:val="center"/>
            </w:pPr>
            <w:r>
              <w:rPr>
                <w:color w:val="1A1A1A"/>
                <w:sz w:val="19"/>
              </w:rPr>
              <w:t>Temporal Patches + Graph Neural Network</w:t>
            </w:r>
          </w:p>
        </w:tc>
        <w:tc>
          <w:tcPr>
            <w:tcW w:type="dxa" w:w="4819"/>
            <w:vAlign w:val="center"/>
          </w:tcPr>
          <w:p>
            <w:pPr>
              <w:jc w:val="center"/>
            </w:pPr>
            <w:r>
              <w:rPr>
                <w:color w:val="1A1A1A"/>
                <w:sz w:val="19"/>
              </w:rPr>
              <w:t>Applies patch tokenization across time then GNN layers across counties (nodes); captures spatial correlations between all 8 locations simultaneously</w:t>
            </w:r>
          </w:p>
        </w:tc>
      </w:tr>
    </w:tbl>
    <w:p>
      <w:pPr>
        <w:spacing w:after="80"/>
      </w:pPr>
    </w:p>
    <w:p>
      <w:pPr>
        <w:spacing w:before="360" w:after="120"/>
      </w:pPr>
      <w:r>
        <w:rPr>
          <w:b/>
          <w:color w:val="0A2540"/>
          <w:sz w:val="32"/>
        </w:rPr>
        <w:t>7. Experimental Setup</w:t>
      </w:r>
    </w:p>
    <w:p>
      <w:pPr>
        <w:spacing w:before="240" w:after="120"/>
      </w:pPr>
      <w:r>
        <w:rPr>
          <w:b/>
          <w:color w:val="0A2540"/>
          <w:sz w:val="23"/>
        </w:rPr>
        <w:t>7.1 Computing Environment</w:t>
      </w:r>
    </w:p>
    <w:p>
      <w:pPr>
        <w:pStyle w:val="ListBullet"/>
        <w:spacing w:after="60"/>
      </w:pPr>
      <w:r>
        <w:rPr>
          <w:color w:val="1A1A1A"/>
          <w:sz w:val="22"/>
        </w:rPr>
        <w:t>Primary: Google Colab Pro — NVIDIA A100 GPU (40GB VRAM), Python 3.10, PyTorch 2.x with CUDA 12.x</w:t>
      </w:r>
    </w:p>
    <w:p>
      <w:pPr>
        <w:pStyle w:val="ListBullet"/>
        <w:spacing w:after="60"/>
      </w:pPr>
      <w:r>
        <w:rPr>
          <w:color w:val="1A1A1A"/>
          <w:sz w:val="22"/>
        </w:rPr>
        <w:t>Secondary: College Jupyter Server at http://10.96.50.150:9997 (used when Colab units ran out)</w:t>
      </w:r>
    </w:p>
    <w:p>
      <w:pPr>
        <w:spacing w:before="240" w:after="120"/>
      </w:pPr>
      <w:r>
        <w:rPr>
          <w:b/>
          <w:color w:val="0A2540"/>
          <w:sz w:val="23"/>
        </w:rPr>
        <w:t>7.2 Code Organization</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0a2540"/>
            <w:vAlign w:val="center"/>
          </w:tcPr>
          <w:p>
            <w:pPr>
              <w:jc w:val="center"/>
            </w:pPr>
            <w:r>
              <w:rPr>
                <w:b/>
                <w:color w:val="FFFFFF"/>
                <w:sz w:val="19"/>
              </w:rPr>
              <w:t>Notebook</w:t>
            </w:r>
          </w:p>
        </w:tc>
        <w:tc>
          <w:tcPr>
            <w:tcW w:type="dxa" w:w="2551"/>
            <w:shd w:val="clear" w:color="auto" w:fill="0a2540"/>
            <w:vAlign w:val="center"/>
          </w:tcPr>
          <w:p>
            <w:pPr>
              <w:jc w:val="center"/>
            </w:pPr>
            <w:r>
              <w:rPr>
                <w:b/>
                <w:color w:val="FFFFFF"/>
                <w:sz w:val="19"/>
              </w:rPr>
              <w:t>Purpose</w:t>
            </w:r>
          </w:p>
        </w:tc>
        <w:tc>
          <w:tcPr>
            <w:tcW w:type="dxa" w:w="3402"/>
            <w:shd w:val="clear" w:color="auto" w:fill="0a2540"/>
            <w:vAlign w:val="center"/>
          </w:tcPr>
          <w:p>
            <w:pPr>
              <w:jc w:val="center"/>
            </w:pPr>
            <w:r>
              <w:rPr>
                <w:b/>
                <w:color w:val="FFFFFF"/>
                <w:sz w:val="19"/>
              </w:rPr>
              <w:t>Models</w:t>
            </w:r>
          </w:p>
        </w:tc>
      </w:tr>
      <w:tr>
        <w:tc>
          <w:tcPr>
            <w:tcW w:type="dxa" w:w="3118"/>
            <w:vAlign w:val="center"/>
          </w:tcPr>
          <w:p>
            <w:pPr>
              <w:jc w:val="left"/>
            </w:pPr>
            <w:r>
              <w:rPr>
                <w:color w:val="1A1A1A"/>
                <w:sz w:val="19"/>
              </w:rPr>
              <w:t>DM-ll_Project_7 Models.ipynb</w:t>
            </w:r>
          </w:p>
        </w:tc>
        <w:tc>
          <w:tcPr>
            <w:tcW w:type="dxa" w:w="2551"/>
            <w:vAlign w:val="center"/>
          </w:tcPr>
          <w:p>
            <w:pPr>
              <w:jc w:val="center"/>
            </w:pPr>
            <w:r>
              <w:rPr>
                <w:color w:val="1A1A1A"/>
                <w:sz w:val="19"/>
              </w:rPr>
              <w:t>Phase 1–3: Main 7 models</w:t>
            </w:r>
          </w:p>
        </w:tc>
        <w:tc>
          <w:tcPr>
            <w:tcW w:type="dxa" w:w="3402"/>
            <w:vAlign w:val="center"/>
          </w:tcPr>
          <w:p>
            <w:pPr>
              <w:jc w:val="center"/>
            </w:pPr>
            <w:r>
              <w:rPr>
                <w:color w:val="1A1A1A"/>
                <w:sz w:val="19"/>
              </w:rPr>
              <w:t>DLinear, Informer, PatchTST, TimesNet, TimeMixer, TTM, tPatchGNN</w:t>
            </w:r>
          </w:p>
        </w:tc>
      </w:tr>
      <w:tr>
        <w:tc>
          <w:tcPr>
            <w:tcW w:type="dxa" w:w="3118"/>
            <w:shd w:val="clear" w:color="auto" w:fill="f4f7fb"/>
            <w:vAlign w:val="center"/>
          </w:tcPr>
          <w:p>
            <w:pPr>
              <w:jc w:val="left"/>
            </w:pPr>
            <w:r>
              <w:rPr>
                <w:color w:val="1A1A1A"/>
                <w:sz w:val="19"/>
              </w:rPr>
              <w:t>DM-ll_Project_4_Remaining_Models.ipynb</w:t>
            </w:r>
          </w:p>
        </w:tc>
        <w:tc>
          <w:tcPr>
            <w:tcW w:type="dxa" w:w="2551"/>
            <w:shd w:val="clear" w:color="auto" w:fill="f4f7fb"/>
            <w:vAlign w:val="center"/>
          </w:tcPr>
          <w:p>
            <w:pPr>
              <w:jc w:val="center"/>
            </w:pPr>
            <w:r>
              <w:rPr>
                <w:color w:val="1A1A1A"/>
                <w:sz w:val="19"/>
              </w:rPr>
              <w:t>Phase 4 (Colab): Remaining models</w:t>
            </w:r>
          </w:p>
        </w:tc>
        <w:tc>
          <w:tcPr>
            <w:tcW w:type="dxa" w:w="3402"/>
            <w:shd w:val="clear" w:color="auto" w:fill="f4f7fb"/>
            <w:vAlign w:val="center"/>
          </w:tcPr>
          <w:p>
            <w:pPr>
              <w:jc w:val="center"/>
            </w:pPr>
            <w:r>
              <w:rPr>
                <w:color w:val="1A1A1A"/>
                <w:sz w:val="19"/>
              </w:rPr>
              <w:t>TimeLLM, CRU, LatentODE, NeuralFlow</w:t>
            </w:r>
          </w:p>
        </w:tc>
      </w:tr>
      <w:tr>
        <w:tc>
          <w:tcPr>
            <w:tcW w:type="dxa" w:w="3118"/>
            <w:vAlign w:val="center"/>
          </w:tcPr>
          <w:p>
            <w:pPr>
              <w:jc w:val="left"/>
            </w:pPr>
            <w:r>
              <w:rPr>
                <w:color w:val="1A1A1A"/>
                <w:sz w:val="19"/>
              </w:rPr>
              <w:t>DM-ll_Project_4_Remaining_Models_Server.ipynb</w:t>
            </w:r>
          </w:p>
        </w:tc>
        <w:tc>
          <w:tcPr>
            <w:tcW w:type="dxa" w:w="2551"/>
            <w:vAlign w:val="center"/>
          </w:tcPr>
          <w:p>
            <w:pPr>
              <w:jc w:val="center"/>
            </w:pPr>
            <w:r>
              <w:rPr>
                <w:color w:val="1A1A1A"/>
                <w:sz w:val="19"/>
              </w:rPr>
              <w:t>Phase 4 (Server): Clean version</w:t>
            </w:r>
          </w:p>
        </w:tc>
        <w:tc>
          <w:tcPr>
            <w:tcW w:type="dxa" w:w="3402"/>
            <w:vAlign w:val="center"/>
          </w:tcPr>
          <w:p>
            <w:pPr>
              <w:jc w:val="center"/>
            </w:pPr>
            <w:r>
              <w:rPr>
                <w:color w:val="1A1A1A"/>
                <w:sz w:val="19"/>
              </w:rPr>
              <w:t>Same as above, no Colab-specific code, auto-detecting paths</w:t>
            </w:r>
          </w:p>
        </w:tc>
      </w:tr>
    </w:tbl>
    <w:p>
      <w:pPr>
        <w:spacing w:after="80"/>
      </w:pPr>
    </w:p>
    <w:p>
      <w:pPr>
        <w:spacing w:before="240" w:after="120"/>
      </w:pPr>
      <w:r>
        <w:rPr>
          <w:b/>
          <w:color w:val="0A2540"/>
          <w:sz w:val="23"/>
        </w:rPr>
        <w:t>7.3 Result Logging</w:t>
      </w:r>
    </w:p>
    <w:p>
      <w:pPr>
        <w:spacing w:after="160"/>
        <w:jc w:val="both"/>
      </w:pPr>
      <w:r>
        <w:rPr>
          <w:b w:val="0"/>
          <w:i w:val="0"/>
          <w:color w:val="1A1A1A"/>
          <w:sz w:val="22"/>
        </w:rPr>
        <w:t>All runs are logged as JSONL files (runs.jsonl, runs_4models.jsonl) capturing: model name, mode (uni/multi), MSE, MAE, runtime in seconds, seed, dataset, hyperparameters, and per-run log file path.</w:t>
      </w:r>
    </w:p>
    <w:p>
      <w:r>
        <w:br w:type="page"/>
      </w:r>
    </w:p>
    <w:p>
      <w:pPr>
        <w:spacing w:before="360" w:after="120"/>
      </w:pPr>
      <w:r>
        <w:rPr>
          <w:b/>
          <w:color w:val="0A2540"/>
          <w:sz w:val="32"/>
        </w:rPr>
        <w:t>8. Results and Analysis</w:t>
      </w:r>
    </w:p>
    <w:p>
      <w:pPr>
        <w:spacing w:before="240" w:after="120"/>
      </w:pPr>
      <w:r>
        <w:rPr>
          <w:b/>
          <w:color w:val="0A2540"/>
          <w:sz w:val="26"/>
        </w:rPr>
        <w:t>8.1 Main Results Table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701"/>
            <w:shd w:val="clear" w:color="auto" w:fill="0a2540"/>
            <w:vAlign w:val="center"/>
          </w:tcPr>
          <w:p>
            <w:pPr>
              <w:jc w:val="center"/>
            </w:pPr>
            <w:r>
              <w:rPr>
                <w:b/>
                <w:color w:val="FFFFFF"/>
                <w:sz w:val="19"/>
              </w:rPr>
              <w:t>Model</w:t>
            </w:r>
          </w:p>
        </w:tc>
        <w:tc>
          <w:tcPr>
            <w:tcW w:type="dxa" w:w="1247"/>
            <w:shd w:val="clear" w:color="auto" w:fill="0a2540"/>
            <w:vAlign w:val="center"/>
          </w:tcPr>
          <w:p>
            <w:pPr>
              <w:jc w:val="center"/>
            </w:pPr>
            <w:r>
              <w:rPr>
                <w:b/>
                <w:color w:val="FFFFFF"/>
                <w:sz w:val="19"/>
              </w:rPr>
              <w:t>Uni</w:t>
              <w:br/>
              <w:t>(Ours)</w:t>
            </w:r>
          </w:p>
        </w:tc>
        <w:tc>
          <w:tcPr>
            <w:tcW w:type="dxa" w:w="1247"/>
            <w:shd w:val="clear" w:color="auto" w:fill="0a2540"/>
            <w:vAlign w:val="center"/>
          </w:tcPr>
          <w:p>
            <w:pPr>
              <w:jc w:val="center"/>
            </w:pPr>
            <w:r>
              <w:rPr>
                <w:b/>
                <w:color w:val="FFFFFF"/>
                <w:sz w:val="19"/>
              </w:rPr>
              <w:t>Uni</w:t>
              <w:br/>
              <w:t>(Paper)</w:t>
            </w:r>
          </w:p>
        </w:tc>
        <w:tc>
          <w:tcPr>
            <w:tcW w:type="dxa" w:w="1247"/>
            <w:shd w:val="clear" w:color="auto" w:fill="0a2540"/>
            <w:vAlign w:val="center"/>
          </w:tcPr>
          <w:p>
            <w:pPr>
              <w:jc w:val="center"/>
            </w:pPr>
            <w:r>
              <w:rPr>
                <w:b/>
                <w:color w:val="FFFFFF"/>
                <w:sz w:val="19"/>
              </w:rPr>
              <w:t>Multi</w:t>
              <w:br/>
              <w:t>(Ours)</w:t>
            </w:r>
          </w:p>
        </w:tc>
        <w:tc>
          <w:tcPr>
            <w:tcW w:type="dxa" w:w="1247"/>
            <w:shd w:val="clear" w:color="auto" w:fill="0a2540"/>
            <w:vAlign w:val="center"/>
          </w:tcPr>
          <w:p>
            <w:pPr>
              <w:jc w:val="center"/>
            </w:pPr>
            <w:r>
              <w:rPr>
                <w:b/>
                <w:color w:val="FFFFFF"/>
                <w:sz w:val="19"/>
              </w:rPr>
              <w:t>Multi</w:t>
              <w:br/>
              <w:t>(Paper)</w:t>
            </w:r>
          </w:p>
        </w:tc>
        <w:tc>
          <w:tcPr>
            <w:tcW w:type="dxa" w:w="1134"/>
            <w:shd w:val="clear" w:color="auto" w:fill="0a2540"/>
            <w:vAlign w:val="center"/>
          </w:tcPr>
          <w:p>
            <w:pPr>
              <w:jc w:val="center"/>
            </w:pPr>
            <w:r>
              <w:rPr>
                <w:b/>
                <w:color w:val="FFFFFF"/>
                <w:sz w:val="19"/>
              </w:rPr>
              <w:t>Δ%</w:t>
            </w:r>
          </w:p>
        </w:tc>
        <w:tc>
          <w:tcPr>
            <w:tcW w:type="dxa" w:w="964"/>
            <w:shd w:val="clear" w:color="auto" w:fill="0a2540"/>
            <w:vAlign w:val="center"/>
          </w:tcPr>
          <w:p>
            <w:pPr>
              <w:jc w:val="center"/>
            </w:pPr>
            <w:r>
              <w:rPr>
                <w:b/>
                <w:color w:val="FFFFFF"/>
                <w:sz w:val="19"/>
              </w:rPr>
              <w:t>Text</w:t>
              <w:br/>
              <w:t>Helps?</w:t>
            </w:r>
          </w:p>
        </w:tc>
      </w:tr>
      <w:tr>
        <w:tc>
          <w:tcPr>
            <w:tcW w:type="dxa" w:w="1701"/>
            <w:vAlign w:val="center"/>
          </w:tcPr>
          <w:p>
            <w:pPr>
              <w:jc w:val="left"/>
            </w:pPr>
            <w:r>
              <w:rPr>
                <w:color w:val="1A1A1A"/>
                <w:sz w:val="19"/>
              </w:rPr>
              <w:t>DLinear</w:t>
            </w:r>
          </w:p>
        </w:tc>
        <w:tc>
          <w:tcPr>
            <w:tcW w:type="dxa" w:w="1247"/>
            <w:vAlign w:val="center"/>
          </w:tcPr>
          <w:p>
            <w:pPr>
              <w:jc w:val="center"/>
            </w:pPr>
            <w:r>
              <w:rPr>
                <w:color w:val="1A1A1A"/>
                <w:sz w:val="19"/>
              </w:rPr>
              <w:t>0.5438</w:t>
            </w:r>
          </w:p>
        </w:tc>
        <w:tc>
          <w:tcPr>
            <w:tcW w:type="dxa" w:w="1247"/>
            <w:vAlign w:val="center"/>
          </w:tcPr>
          <w:p>
            <w:pPr>
              <w:jc w:val="center"/>
            </w:pPr>
            <w:r>
              <w:rPr>
                <w:color w:val="1A1A1A"/>
                <w:sz w:val="19"/>
              </w:rPr>
              <w:t>0.5361</w:t>
            </w:r>
          </w:p>
        </w:tc>
        <w:tc>
          <w:tcPr>
            <w:tcW w:type="dxa" w:w="1247"/>
            <w:vAlign w:val="center"/>
          </w:tcPr>
          <w:p>
            <w:pPr>
              <w:jc w:val="center"/>
            </w:pPr>
            <w:r>
              <w:rPr>
                <w:color w:val="1A1A1A"/>
                <w:sz w:val="19"/>
              </w:rPr>
              <w:t>0.5090</w:t>
            </w:r>
          </w:p>
        </w:tc>
        <w:tc>
          <w:tcPr>
            <w:tcW w:type="dxa" w:w="1247"/>
            <w:vAlign w:val="center"/>
          </w:tcPr>
          <w:p>
            <w:pPr>
              <w:jc w:val="center"/>
            </w:pPr>
            <w:r>
              <w:rPr>
                <w:color w:val="1A1A1A"/>
                <w:sz w:val="19"/>
              </w:rPr>
              <w:t>0.5223</w:t>
            </w:r>
          </w:p>
        </w:tc>
        <w:tc>
          <w:tcPr>
            <w:tcW w:type="dxa" w:w="1134"/>
            <w:vAlign w:val="center"/>
          </w:tcPr>
          <w:p>
            <w:pPr>
              <w:jc w:val="center"/>
            </w:pPr>
            <w:r>
              <w:rPr>
                <w:b/>
                <w:color w:val="1A6E34"/>
                <w:sz w:val="19"/>
              </w:rPr>
              <w:t>−6.4%</w:t>
            </w:r>
          </w:p>
        </w:tc>
        <w:tc>
          <w:tcPr>
            <w:tcW w:type="dxa" w:w="964"/>
            <w:vAlign w:val="center"/>
          </w:tcPr>
          <w:p>
            <w:pPr>
              <w:jc w:val="center"/>
            </w:pPr>
            <w:r>
              <w:rPr>
                <w:b/>
                <w:color w:val="1A6E34"/>
                <w:sz w:val="19"/>
              </w:rPr>
              <w:t>✓</w:t>
            </w:r>
          </w:p>
        </w:tc>
      </w:tr>
      <w:tr>
        <w:tc>
          <w:tcPr>
            <w:tcW w:type="dxa" w:w="1701"/>
            <w:shd w:val="clear" w:color="auto" w:fill="f4f7fb"/>
            <w:vAlign w:val="center"/>
          </w:tcPr>
          <w:p>
            <w:pPr>
              <w:jc w:val="left"/>
            </w:pPr>
            <w:r>
              <w:rPr>
                <w:color w:val="1A1A1A"/>
                <w:sz w:val="19"/>
              </w:rPr>
              <w:t>Informer</w:t>
            </w:r>
          </w:p>
        </w:tc>
        <w:tc>
          <w:tcPr>
            <w:tcW w:type="dxa" w:w="1247"/>
            <w:shd w:val="clear" w:color="auto" w:fill="f4f7fb"/>
            <w:vAlign w:val="center"/>
          </w:tcPr>
          <w:p>
            <w:pPr>
              <w:jc w:val="center"/>
            </w:pPr>
            <w:r>
              <w:rPr>
                <w:color w:val="1A1A1A"/>
                <w:sz w:val="19"/>
              </w:rPr>
              <w:t>0.6472</w:t>
            </w:r>
          </w:p>
        </w:tc>
        <w:tc>
          <w:tcPr>
            <w:tcW w:type="dxa" w:w="1247"/>
            <w:shd w:val="clear" w:color="auto" w:fill="f4f7fb"/>
            <w:vAlign w:val="center"/>
          </w:tcPr>
          <w:p>
            <w:pPr>
              <w:jc w:val="center"/>
            </w:pPr>
            <w:r>
              <w:rPr>
                <w:color w:val="1A1A1A"/>
                <w:sz w:val="19"/>
              </w:rPr>
              <w:t>0.6301</w:t>
            </w:r>
          </w:p>
        </w:tc>
        <w:tc>
          <w:tcPr>
            <w:tcW w:type="dxa" w:w="1247"/>
            <w:shd w:val="clear" w:color="auto" w:fill="f4f7fb"/>
            <w:vAlign w:val="center"/>
          </w:tcPr>
          <w:p>
            <w:pPr>
              <w:jc w:val="center"/>
            </w:pPr>
            <w:r>
              <w:rPr>
                <w:color w:val="1A1A1A"/>
                <w:sz w:val="19"/>
              </w:rPr>
              <w:t>0.5937</w:t>
            </w:r>
          </w:p>
        </w:tc>
        <w:tc>
          <w:tcPr>
            <w:tcW w:type="dxa" w:w="1247"/>
            <w:shd w:val="clear" w:color="auto" w:fill="f4f7fb"/>
            <w:vAlign w:val="center"/>
          </w:tcPr>
          <w:p>
            <w:pPr>
              <w:jc w:val="center"/>
            </w:pPr>
            <w:r>
              <w:rPr>
                <w:color w:val="1A1A1A"/>
                <w:sz w:val="19"/>
              </w:rPr>
              <w:t>0.5812</w:t>
            </w:r>
          </w:p>
        </w:tc>
        <w:tc>
          <w:tcPr>
            <w:tcW w:type="dxa" w:w="1134"/>
            <w:shd w:val="clear" w:color="auto" w:fill="f4f7fb"/>
            <w:vAlign w:val="center"/>
          </w:tcPr>
          <w:p>
            <w:pPr>
              <w:jc w:val="center"/>
            </w:pPr>
            <w:r>
              <w:rPr>
                <w:b/>
                <w:color w:val="1A6E34"/>
                <w:sz w:val="19"/>
              </w:rPr>
              <w:t>−8.3%</w:t>
            </w:r>
          </w:p>
        </w:tc>
        <w:tc>
          <w:tcPr>
            <w:tcW w:type="dxa" w:w="964"/>
            <w:shd w:val="clear" w:color="auto" w:fill="f4f7fb"/>
            <w:vAlign w:val="center"/>
          </w:tcPr>
          <w:p>
            <w:pPr>
              <w:jc w:val="center"/>
            </w:pPr>
            <w:r>
              <w:rPr>
                <w:b/>
                <w:color w:val="1A6E34"/>
                <w:sz w:val="19"/>
              </w:rPr>
              <w:t>✓</w:t>
            </w:r>
          </w:p>
        </w:tc>
      </w:tr>
      <w:tr>
        <w:tc>
          <w:tcPr>
            <w:tcW w:type="dxa" w:w="1701"/>
            <w:vAlign w:val="center"/>
          </w:tcPr>
          <w:p>
            <w:pPr>
              <w:jc w:val="left"/>
            </w:pPr>
            <w:r>
              <w:rPr>
                <w:color w:val="1A1A1A"/>
                <w:sz w:val="19"/>
              </w:rPr>
              <w:t>PatchTST</w:t>
            </w:r>
          </w:p>
        </w:tc>
        <w:tc>
          <w:tcPr>
            <w:tcW w:type="dxa" w:w="1247"/>
            <w:vAlign w:val="center"/>
          </w:tcPr>
          <w:p>
            <w:pPr>
              <w:jc w:val="center"/>
            </w:pPr>
            <w:r>
              <w:rPr>
                <w:color w:val="1A1A1A"/>
                <w:sz w:val="19"/>
              </w:rPr>
              <w:t>0.6297</w:t>
            </w:r>
          </w:p>
        </w:tc>
        <w:tc>
          <w:tcPr>
            <w:tcW w:type="dxa" w:w="1247"/>
            <w:vAlign w:val="center"/>
          </w:tcPr>
          <w:p>
            <w:pPr>
              <w:jc w:val="center"/>
            </w:pPr>
            <w:r>
              <w:rPr>
                <w:color w:val="1A1A1A"/>
                <w:sz w:val="19"/>
              </w:rPr>
              <w:t>0.6196</w:t>
            </w:r>
          </w:p>
        </w:tc>
        <w:tc>
          <w:tcPr>
            <w:tcW w:type="dxa" w:w="1247"/>
            <w:vAlign w:val="center"/>
          </w:tcPr>
          <w:p>
            <w:pPr>
              <w:jc w:val="center"/>
            </w:pPr>
            <w:r>
              <w:rPr>
                <w:color w:val="1A1A1A"/>
                <w:sz w:val="19"/>
              </w:rPr>
              <w:t>0.6797</w:t>
            </w:r>
          </w:p>
        </w:tc>
        <w:tc>
          <w:tcPr>
            <w:tcW w:type="dxa" w:w="1247"/>
            <w:vAlign w:val="center"/>
          </w:tcPr>
          <w:p>
            <w:pPr>
              <w:jc w:val="center"/>
            </w:pPr>
            <w:r>
              <w:rPr>
                <w:color w:val="1A1A1A"/>
                <w:sz w:val="19"/>
              </w:rPr>
              <w:t>0.6204</w:t>
            </w:r>
          </w:p>
        </w:tc>
        <w:tc>
          <w:tcPr>
            <w:tcW w:type="dxa" w:w="1134"/>
            <w:vAlign w:val="center"/>
          </w:tcPr>
          <w:p>
            <w:pPr>
              <w:jc w:val="center"/>
            </w:pPr>
            <w:r>
              <w:rPr>
                <w:b/>
                <w:color w:val="B52020"/>
                <w:sz w:val="19"/>
              </w:rPr>
              <w:t>+7.9%</w:t>
            </w:r>
          </w:p>
        </w:tc>
        <w:tc>
          <w:tcPr>
            <w:tcW w:type="dxa" w:w="964"/>
            <w:vAlign w:val="center"/>
          </w:tcPr>
          <w:p>
            <w:pPr>
              <w:jc w:val="center"/>
            </w:pPr>
            <w:r>
              <w:rPr>
                <w:b/>
                <w:color w:val="B52020"/>
                <w:sz w:val="19"/>
              </w:rPr>
              <w:t>✗</w:t>
            </w:r>
          </w:p>
        </w:tc>
      </w:tr>
      <w:tr>
        <w:tc>
          <w:tcPr>
            <w:tcW w:type="dxa" w:w="1701"/>
            <w:shd w:val="clear" w:color="auto" w:fill="f4f7fb"/>
            <w:vAlign w:val="center"/>
          </w:tcPr>
          <w:p>
            <w:pPr>
              <w:jc w:val="left"/>
            </w:pPr>
            <w:r>
              <w:rPr>
                <w:color w:val="1A1A1A"/>
                <w:sz w:val="19"/>
              </w:rPr>
              <w:t>TimesNet</w:t>
            </w:r>
          </w:p>
        </w:tc>
        <w:tc>
          <w:tcPr>
            <w:tcW w:type="dxa" w:w="1247"/>
            <w:shd w:val="clear" w:color="auto" w:fill="f4f7fb"/>
            <w:vAlign w:val="center"/>
          </w:tcPr>
          <w:p>
            <w:pPr>
              <w:jc w:val="center"/>
            </w:pPr>
            <w:r>
              <w:rPr>
                <w:color w:val="1A1A1A"/>
                <w:sz w:val="19"/>
              </w:rPr>
              <w:t>0.5888</w:t>
            </w:r>
          </w:p>
        </w:tc>
        <w:tc>
          <w:tcPr>
            <w:tcW w:type="dxa" w:w="1247"/>
            <w:shd w:val="clear" w:color="auto" w:fill="f4f7fb"/>
            <w:vAlign w:val="center"/>
          </w:tcPr>
          <w:p>
            <w:pPr>
              <w:jc w:val="center"/>
            </w:pPr>
            <w:r>
              <w:rPr>
                <w:color w:val="1A1A1A"/>
                <w:sz w:val="19"/>
              </w:rPr>
              <w:t>0.5599</w:t>
            </w:r>
          </w:p>
        </w:tc>
        <w:tc>
          <w:tcPr>
            <w:tcW w:type="dxa" w:w="1247"/>
            <w:shd w:val="clear" w:color="auto" w:fill="f4f7fb"/>
            <w:vAlign w:val="center"/>
          </w:tcPr>
          <w:p>
            <w:pPr>
              <w:jc w:val="center"/>
            </w:pPr>
            <w:r>
              <w:rPr>
                <w:color w:val="1A1A1A"/>
                <w:sz w:val="19"/>
              </w:rPr>
              <w:t>0.5755</w:t>
            </w:r>
          </w:p>
        </w:tc>
        <w:tc>
          <w:tcPr>
            <w:tcW w:type="dxa" w:w="1247"/>
            <w:shd w:val="clear" w:color="auto" w:fill="f4f7fb"/>
            <w:vAlign w:val="center"/>
          </w:tcPr>
          <w:p>
            <w:pPr>
              <w:jc w:val="center"/>
            </w:pPr>
            <w:r>
              <w:rPr>
                <w:color w:val="1A1A1A"/>
                <w:sz w:val="19"/>
              </w:rPr>
              <w:t>0.5892</w:t>
            </w:r>
          </w:p>
        </w:tc>
        <w:tc>
          <w:tcPr>
            <w:tcW w:type="dxa" w:w="1134"/>
            <w:shd w:val="clear" w:color="auto" w:fill="f4f7fb"/>
            <w:vAlign w:val="center"/>
          </w:tcPr>
          <w:p>
            <w:pPr>
              <w:jc w:val="center"/>
            </w:pPr>
            <w:r>
              <w:rPr>
                <w:b/>
                <w:color w:val="1A6E34"/>
                <w:sz w:val="19"/>
              </w:rPr>
              <w:t>−2.3%</w:t>
            </w:r>
          </w:p>
        </w:tc>
        <w:tc>
          <w:tcPr>
            <w:tcW w:type="dxa" w:w="964"/>
            <w:shd w:val="clear" w:color="auto" w:fill="f4f7fb"/>
            <w:vAlign w:val="center"/>
          </w:tcPr>
          <w:p>
            <w:pPr>
              <w:jc w:val="center"/>
            </w:pPr>
            <w:r>
              <w:rPr>
                <w:b/>
                <w:color w:val="1A6E34"/>
                <w:sz w:val="19"/>
              </w:rPr>
              <w:t>✓</w:t>
            </w:r>
          </w:p>
        </w:tc>
      </w:tr>
      <w:tr>
        <w:tc>
          <w:tcPr>
            <w:tcW w:type="dxa" w:w="1701"/>
            <w:vAlign w:val="center"/>
          </w:tcPr>
          <w:p>
            <w:pPr>
              <w:jc w:val="left"/>
            </w:pPr>
            <w:r>
              <w:rPr>
                <w:color w:val="1A1A1A"/>
                <w:sz w:val="19"/>
              </w:rPr>
              <w:t>TimeMixer</w:t>
            </w:r>
          </w:p>
        </w:tc>
        <w:tc>
          <w:tcPr>
            <w:tcW w:type="dxa" w:w="1247"/>
            <w:vAlign w:val="center"/>
          </w:tcPr>
          <w:p>
            <w:pPr>
              <w:jc w:val="center"/>
            </w:pPr>
            <w:r>
              <w:rPr>
                <w:color w:val="1A1A1A"/>
                <w:sz w:val="19"/>
              </w:rPr>
              <w:t>0.6422</w:t>
            </w:r>
          </w:p>
        </w:tc>
        <w:tc>
          <w:tcPr>
            <w:tcW w:type="dxa" w:w="1247"/>
            <w:vAlign w:val="center"/>
          </w:tcPr>
          <w:p>
            <w:pPr>
              <w:jc w:val="center"/>
            </w:pPr>
            <w:r>
              <w:rPr>
                <w:color w:val="1A1A1A"/>
                <w:sz w:val="19"/>
              </w:rPr>
              <w:t>0.6086</w:t>
            </w:r>
          </w:p>
        </w:tc>
        <w:tc>
          <w:tcPr>
            <w:tcW w:type="dxa" w:w="1247"/>
            <w:vAlign w:val="center"/>
          </w:tcPr>
          <w:p>
            <w:pPr>
              <w:jc w:val="center"/>
            </w:pPr>
            <w:r>
              <w:rPr>
                <w:color w:val="1A1A1A"/>
                <w:sz w:val="19"/>
              </w:rPr>
              <w:t>0.6165</w:t>
            </w:r>
          </w:p>
        </w:tc>
        <w:tc>
          <w:tcPr>
            <w:tcW w:type="dxa" w:w="1247"/>
            <w:vAlign w:val="center"/>
          </w:tcPr>
          <w:p>
            <w:pPr>
              <w:jc w:val="center"/>
            </w:pPr>
            <w:r>
              <w:rPr>
                <w:color w:val="1A1A1A"/>
                <w:sz w:val="19"/>
              </w:rPr>
              <w:t>0.5641</w:t>
            </w:r>
          </w:p>
        </w:tc>
        <w:tc>
          <w:tcPr>
            <w:tcW w:type="dxa" w:w="1134"/>
            <w:vAlign w:val="center"/>
          </w:tcPr>
          <w:p>
            <w:pPr>
              <w:jc w:val="center"/>
            </w:pPr>
            <w:r>
              <w:rPr>
                <w:b/>
                <w:color w:val="1A6E34"/>
                <w:sz w:val="19"/>
              </w:rPr>
              <w:t>−4.0%</w:t>
            </w:r>
          </w:p>
        </w:tc>
        <w:tc>
          <w:tcPr>
            <w:tcW w:type="dxa" w:w="964"/>
            <w:vAlign w:val="center"/>
          </w:tcPr>
          <w:p>
            <w:pPr>
              <w:jc w:val="center"/>
            </w:pPr>
            <w:r>
              <w:rPr>
                <w:b/>
                <w:color w:val="1A6E34"/>
                <w:sz w:val="19"/>
              </w:rPr>
              <w:t>✓</w:t>
            </w:r>
          </w:p>
        </w:tc>
      </w:tr>
      <w:tr>
        <w:tc>
          <w:tcPr>
            <w:tcW w:type="dxa" w:w="1701"/>
            <w:shd w:val="clear" w:color="auto" w:fill="f4f7fb"/>
            <w:vAlign w:val="center"/>
          </w:tcPr>
          <w:p>
            <w:pPr>
              <w:jc w:val="left"/>
            </w:pPr>
            <w:r>
              <w:rPr>
                <w:color w:val="1A1A1A"/>
                <w:sz w:val="19"/>
              </w:rPr>
              <w:t>TimeLLM</w:t>
            </w:r>
          </w:p>
        </w:tc>
        <w:tc>
          <w:tcPr>
            <w:tcW w:type="dxa" w:w="1247"/>
            <w:shd w:val="clear" w:color="auto" w:fill="f4f7fb"/>
            <w:vAlign w:val="center"/>
          </w:tcPr>
          <w:p>
            <w:pPr>
              <w:jc w:val="center"/>
            </w:pPr>
            <w:r>
              <w:rPr>
                <w:color w:val="1A1A1A"/>
                <w:sz w:val="19"/>
              </w:rPr>
              <w:t>0.6138</w:t>
            </w:r>
          </w:p>
        </w:tc>
        <w:tc>
          <w:tcPr>
            <w:tcW w:type="dxa" w:w="1247"/>
            <w:shd w:val="clear" w:color="auto" w:fill="f4f7fb"/>
            <w:vAlign w:val="center"/>
          </w:tcPr>
          <w:p>
            <w:pPr>
              <w:jc w:val="center"/>
            </w:pPr>
            <w:r>
              <w:rPr>
                <w:color w:val="1A1A1A"/>
                <w:sz w:val="19"/>
              </w:rPr>
              <w:t>0.5835</w:t>
            </w:r>
          </w:p>
        </w:tc>
        <w:tc>
          <w:tcPr>
            <w:tcW w:type="dxa" w:w="1247"/>
            <w:shd w:val="clear" w:color="auto" w:fill="f4f7fb"/>
            <w:vAlign w:val="center"/>
          </w:tcPr>
          <w:p>
            <w:pPr>
              <w:jc w:val="center"/>
            </w:pPr>
            <w:r>
              <w:rPr>
                <w:color w:val="1A1A1A"/>
                <w:sz w:val="19"/>
              </w:rPr>
              <w:t>0.5363</w:t>
            </w:r>
          </w:p>
        </w:tc>
        <w:tc>
          <w:tcPr>
            <w:tcW w:type="dxa" w:w="1247"/>
            <w:shd w:val="clear" w:color="auto" w:fill="f4f7fb"/>
            <w:vAlign w:val="center"/>
          </w:tcPr>
          <w:p>
            <w:pPr>
              <w:jc w:val="center"/>
            </w:pPr>
            <w:r>
              <w:rPr>
                <w:color w:val="1A1A1A"/>
                <w:sz w:val="19"/>
              </w:rPr>
              <w:t>0.5334</w:t>
            </w:r>
          </w:p>
        </w:tc>
        <w:tc>
          <w:tcPr>
            <w:tcW w:type="dxa" w:w="1134"/>
            <w:shd w:val="clear" w:color="auto" w:fill="f4f7fb"/>
            <w:vAlign w:val="center"/>
          </w:tcPr>
          <w:p>
            <w:pPr>
              <w:jc w:val="center"/>
            </w:pPr>
            <w:r>
              <w:rPr>
                <w:b/>
                <w:color w:val="1A6E34"/>
                <w:sz w:val="19"/>
              </w:rPr>
              <w:t>−12.6%</w:t>
            </w:r>
          </w:p>
        </w:tc>
        <w:tc>
          <w:tcPr>
            <w:tcW w:type="dxa" w:w="964"/>
            <w:shd w:val="clear" w:color="auto" w:fill="f4f7fb"/>
            <w:vAlign w:val="center"/>
          </w:tcPr>
          <w:p>
            <w:pPr>
              <w:jc w:val="center"/>
            </w:pPr>
            <w:r>
              <w:rPr>
                <w:b/>
                <w:color w:val="1A6E34"/>
                <w:sz w:val="19"/>
              </w:rPr>
              <w:t>✓</w:t>
            </w:r>
          </w:p>
        </w:tc>
      </w:tr>
      <w:tr>
        <w:tc>
          <w:tcPr>
            <w:tcW w:type="dxa" w:w="1701"/>
            <w:vAlign w:val="center"/>
          </w:tcPr>
          <w:p>
            <w:pPr>
              <w:jc w:val="left"/>
            </w:pPr>
            <w:r>
              <w:rPr>
                <w:color w:val="1A1A1A"/>
                <w:sz w:val="19"/>
              </w:rPr>
              <w:t>TTM</w:t>
            </w:r>
          </w:p>
        </w:tc>
        <w:tc>
          <w:tcPr>
            <w:tcW w:type="dxa" w:w="1247"/>
            <w:vAlign w:val="center"/>
          </w:tcPr>
          <w:p>
            <w:pPr>
              <w:jc w:val="center"/>
            </w:pPr>
            <w:r>
              <w:rPr>
                <w:color w:val="1A1A1A"/>
                <w:sz w:val="19"/>
              </w:rPr>
              <w:t>0.5820</w:t>
            </w:r>
          </w:p>
        </w:tc>
        <w:tc>
          <w:tcPr>
            <w:tcW w:type="dxa" w:w="1247"/>
            <w:vAlign w:val="center"/>
          </w:tcPr>
          <w:p>
            <w:pPr>
              <w:jc w:val="center"/>
            </w:pPr>
            <w:r>
              <w:rPr>
                <w:color w:val="1A1A1A"/>
                <w:sz w:val="19"/>
              </w:rPr>
              <w:t>0.6002</w:t>
            </w:r>
          </w:p>
        </w:tc>
        <w:tc>
          <w:tcPr>
            <w:tcW w:type="dxa" w:w="1247"/>
            <w:vAlign w:val="center"/>
          </w:tcPr>
          <w:p>
            <w:pPr>
              <w:jc w:val="center"/>
            </w:pPr>
            <w:r>
              <w:rPr>
                <w:color w:val="1A1A1A"/>
                <w:sz w:val="19"/>
              </w:rPr>
              <w:t>0.5963</w:t>
            </w:r>
          </w:p>
        </w:tc>
        <w:tc>
          <w:tcPr>
            <w:tcW w:type="dxa" w:w="1247"/>
            <w:vAlign w:val="center"/>
          </w:tcPr>
          <w:p>
            <w:pPr>
              <w:jc w:val="center"/>
            </w:pPr>
            <w:r>
              <w:rPr>
                <w:color w:val="1A1A1A"/>
                <w:sz w:val="19"/>
              </w:rPr>
              <w:t>0.6218</w:t>
            </w:r>
          </w:p>
        </w:tc>
        <w:tc>
          <w:tcPr>
            <w:tcW w:type="dxa" w:w="1134"/>
            <w:vAlign w:val="center"/>
          </w:tcPr>
          <w:p>
            <w:pPr>
              <w:jc w:val="center"/>
            </w:pPr>
            <w:r>
              <w:rPr>
                <w:b/>
                <w:color w:val="B52020"/>
                <w:sz w:val="19"/>
              </w:rPr>
              <w:t>+2.5%</w:t>
            </w:r>
          </w:p>
        </w:tc>
        <w:tc>
          <w:tcPr>
            <w:tcW w:type="dxa" w:w="964"/>
            <w:vAlign w:val="center"/>
          </w:tcPr>
          <w:p>
            <w:pPr>
              <w:jc w:val="center"/>
            </w:pPr>
            <w:r>
              <w:rPr>
                <w:b/>
                <w:color w:val="B52020"/>
                <w:sz w:val="19"/>
              </w:rPr>
              <w:t>✗</w:t>
            </w:r>
          </w:p>
        </w:tc>
      </w:tr>
      <w:tr>
        <w:tc>
          <w:tcPr>
            <w:tcW w:type="dxa" w:w="1701"/>
            <w:shd w:val="clear" w:color="auto" w:fill="f4f7fb"/>
            <w:vAlign w:val="center"/>
          </w:tcPr>
          <w:p>
            <w:pPr>
              <w:jc w:val="left"/>
            </w:pPr>
            <w:r>
              <w:rPr>
                <w:color w:val="1A1A1A"/>
                <w:sz w:val="19"/>
              </w:rPr>
              <w:t>tPatchGNN</w:t>
            </w:r>
          </w:p>
        </w:tc>
        <w:tc>
          <w:tcPr>
            <w:tcW w:type="dxa" w:w="1247"/>
            <w:shd w:val="clear" w:color="auto" w:fill="f4f7fb"/>
            <w:vAlign w:val="center"/>
          </w:tcPr>
          <w:p>
            <w:pPr>
              <w:jc w:val="center"/>
            </w:pPr>
            <w:r>
              <w:rPr>
                <w:color w:val="1A1A1A"/>
                <w:sz w:val="19"/>
              </w:rPr>
              <w:t>0.7098</w:t>
            </w:r>
          </w:p>
        </w:tc>
        <w:tc>
          <w:tcPr>
            <w:tcW w:type="dxa" w:w="1247"/>
            <w:shd w:val="clear" w:color="auto" w:fill="f4f7fb"/>
            <w:vAlign w:val="center"/>
          </w:tcPr>
          <w:p>
            <w:pPr>
              <w:jc w:val="center"/>
            </w:pPr>
            <w:r>
              <w:rPr>
                <w:color w:val="1A1A1A"/>
                <w:sz w:val="19"/>
              </w:rPr>
              <w:t>0.6258</w:t>
            </w:r>
          </w:p>
        </w:tc>
        <w:tc>
          <w:tcPr>
            <w:tcW w:type="dxa" w:w="1247"/>
            <w:shd w:val="clear" w:color="auto" w:fill="f4f7fb"/>
            <w:vAlign w:val="center"/>
          </w:tcPr>
          <w:p>
            <w:pPr>
              <w:jc w:val="center"/>
            </w:pPr>
            <w:r>
              <w:rPr>
                <w:color w:val="1A1A1A"/>
                <w:sz w:val="19"/>
              </w:rPr>
              <w:t>0.7756</w:t>
            </w:r>
          </w:p>
        </w:tc>
        <w:tc>
          <w:tcPr>
            <w:tcW w:type="dxa" w:w="1247"/>
            <w:shd w:val="clear" w:color="auto" w:fill="f4f7fb"/>
            <w:vAlign w:val="center"/>
          </w:tcPr>
          <w:p>
            <w:pPr>
              <w:jc w:val="center"/>
            </w:pPr>
            <w:r>
              <w:rPr>
                <w:color w:val="1A1A1A"/>
                <w:sz w:val="19"/>
              </w:rPr>
              <w:t>0.5840</w:t>
            </w:r>
          </w:p>
        </w:tc>
        <w:tc>
          <w:tcPr>
            <w:tcW w:type="dxa" w:w="1134"/>
            <w:shd w:val="clear" w:color="auto" w:fill="f4f7fb"/>
            <w:vAlign w:val="center"/>
          </w:tcPr>
          <w:p>
            <w:pPr>
              <w:jc w:val="center"/>
            </w:pPr>
            <w:r>
              <w:rPr>
                <w:b/>
                <w:color w:val="B52020"/>
                <w:sz w:val="19"/>
              </w:rPr>
              <w:t>+9.3%</w:t>
            </w:r>
          </w:p>
        </w:tc>
        <w:tc>
          <w:tcPr>
            <w:tcW w:type="dxa" w:w="964"/>
            <w:shd w:val="clear" w:color="auto" w:fill="f4f7fb"/>
            <w:vAlign w:val="center"/>
          </w:tcPr>
          <w:p>
            <w:pPr>
              <w:jc w:val="center"/>
            </w:pPr>
            <w:r>
              <w:rPr>
                <w:b/>
                <w:color w:val="B52020"/>
                <w:sz w:val="19"/>
              </w:rPr>
              <w:t>✗</w:t>
            </w:r>
          </w:p>
        </w:tc>
      </w:tr>
      <w:tr>
        <w:tc>
          <w:tcPr>
            <w:tcW w:type="dxa" w:w="1701"/>
            <w:vAlign w:val="center"/>
          </w:tcPr>
          <w:p>
            <w:pPr>
              <w:jc w:val="left"/>
            </w:pPr>
            <w:r>
              <w:rPr>
                <w:color w:val="1A1A1A"/>
                <w:sz w:val="19"/>
              </w:rPr>
              <w:t>CRU</w:t>
            </w:r>
          </w:p>
        </w:tc>
        <w:tc>
          <w:tcPr>
            <w:tcW w:type="dxa" w:w="1247"/>
            <w:vAlign w:val="center"/>
          </w:tcPr>
          <w:p>
            <w:pPr>
              <w:jc w:val="center"/>
            </w:pPr>
            <w:r>
              <w:rPr>
                <w:color w:val="1A1A1A"/>
                <w:sz w:val="19"/>
              </w:rPr>
              <w:t>0.8087</w:t>
            </w:r>
          </w:p>
        </w:tc>
        <w:tc>
          <w:tcPr>
            <w:tcW w:type="dxa" w:w="1247"/>
            <w:vAlign w:val="center"/>
          </w:tcPr>
          <w:p>
            <w:pPr>
              <w:jc w:val="center"/>
            </w:pPr>
            <w:r>
              <w:rPr>
                <w:color w:val="1A1A1A"/>
                <w:sz w:val="19"/>
              </w:rPr>
              <w:t>0.7026</w:t>
            </w:r>
          </w:p>
        </w:tc>
        <w:tc>
          <w:tcPr>
            <w:tcW w:type="dxa" w:w="1247"/>
            <w:vAlign w:val="center"/>
          </w:tcPr>
          <w:p>
            <w:pPr>
              <w:jc w:val="center"/>
            </w:pPr>
            <w:r>
              <w:rPr>
                <w:color w:val="1A1A1A"/>
                <w:sz w:val="19"/>
              </w:rPr>
              <w:t>0.9212</w:t>
            </w:r>
          </w:p>
        </w:tc>
        <w:tc>
          <w:tcPr>
            <w:tcW w:type="dxa" w:w="1247"/>
            <w:vAlign w:val="center"/>
          </w:tcPr>
          <w:p>
            <w:pPr>
              <w:jc w:val="center"/>
            </w:pPr>
            <w:r>
              <w:rPr>
                <w:color w:val="1A1A1A"/>
                <w:sz w:val="19"/>
              </w:rPr>
              <w:t>0.7982</w:t>
            </w:r>
          </w:p>
        </w:tc>
        <w:tc>
          <w:tcPr>
            <w:tcW w:type="dxa" w:w="1134"/>
            <w:vAlign w:val="center"/>
          </w:tcPr>
          <w:p>
            <w:pPr>
              <w:jc w:val="center"/>
            </w:pPr>
            <w:r>
              <w:rPr>
                <w:b/>
                <w:color w:val="B52020"/>
                <w:sz w:val="19"/>
              </w:rPr>
              <w:t>+13.9%</w:t>
            </w:r>
          </w:p>
        </w:tc>
        <w:tc>
          <w:tcPr>
            <w:tcW w:type="dxa" w:w="964"/>
            <w:vAlign w:val="center"/>
          </w:tcPr>
          <w:p>
            <w:pPr>
              <w:jc w:val="center"/>
            </w:pPr>
            <w:r>
              <w:rPr>
                <w:b/>
                <w:color w:val="B52020"/>
                <w:sz w:val="19"/>
              </w:rPr>
              <w:t>✗</w:t>
            </w:r>
          </w:p>
        </w:tc>
      </w:tr>
      <w:tr>
        <w:tc>
          <w:tcPr>
            <w:tcW w:type="dxa" w:w="1701"/>
            <w:shd w:val="clear" w:color="auto" w:fill="f4f7fb"/>
            <w:vAlign w:val="center"/>
          </w:tcPr>
          <w:p>
            <w:pPr>
              <w:jc w:val="left"/>
            </w:pPr>
            <w:r>
              <w:rPr>
                <w:color w:val="1A1A1A"/>
                <w:sz w:val="19"/>
              </w:rPr>
              <w:t>LatentODE</w:t>
            </w:r>
          </w:p>
        </w:tc>
        <w:tc>
          <w:tcPr>
            <w:tcW w:type="dxa" w:w="1247"/>
            <w:shd w:val="clear" w:color="auto" w:fill="f4f7fb"/>
            <w:vAlign w:val="center"/>
          </w:tcPr>
          <w:p>
            <w:pPr>
              <w:jc w:val="center"/>
            </w:pPr>
            <w:r>
              <w:rPr>
                <w:color w:val="1A1A1A"/>
                <w:sz w:val="19"/>
              </w:rPr>
              <w:t>0.8401</w:t>
            </w:r>
          </w:p>
        </w:tc>
        <w:tc>
          <w:tcPr>
            <w:tcW w:type="dxa" w:w="1247"/>
            <w:shd w:val="clear" w:color="auto" w:fill="f4f7fb"/>
            <w:vAlign w:val="center"/>
          </w:tcPr>
          <w:p>
            <w:pPr>
              <w:jc w:val="center"/>
            </w:pPr>
            <w:r>
              <w:rPr>
                <w:color w:val="1A1A1A"/>
                <w:sz w:val="19"/>
              </w:rPr>
              <w:t>0.8025</w:t>
            </w:r>
          </w:p>
        </w:tc>
        <w:tc>
          <w:tcPr>
            <w:tcW w:type="dxa" w:w="1247"/>
            <w:shd w:val="clear" w:color="auto" w:fill="f4f7fb"/>
            <w:vAlign w:val="center"/>
          </w:tcPr>
          <w:p>
            <w:pPr>
              <w:jc w:val="center"/>
            </w:pPr>
            <w:r>
              <w:rPr>
                <w:color w:val="1A1A1A"/>
                <w:sz w:val="19"/>
              </w:rPr>
              <w:t>0.8940</w:t>
            </w:r>
          </w:p>
        </w:tc>
        <w:tc>
          <w:tcPr>
            <w:tcW w:type="dxa" w:w="1247"/>
            <w:shd w:val="clear" w:color="auto" w:fill="f4f7fb"/>
            <w:vAlign w:val="center"/>
          </w:tcPr>
          <w:p>
            <w:pPr>
              <w:jc w:val="center"/>
            </w:pPr>
            <w:r>
              <w:rPr>
                <w:color w:val="1A1A1A"/>
                <w:sz w:val="19"/>
              </w:rPr>
              <w:t>0.7556</w:t>
            </w:r>
          </w:p>
        </w:tc>
        <w:tc>
          <w:tcPr>
            <w:tcW w:type="dxa" w:w="1134"/>
            <w:shd w:val="clear" w:color="auto" w:fill="f4f7fb"/>
            <w:vAlign w:val="center"/>
          </w:tcPr>
          <w:p>
            <w:pPr>
              <w:jc w:val="center"/>
            </w:pPr>
            <w:r>
              <w:rPr>
                <w:b/>
                <w:color w:val="B52020"/>
                <w:sz w:val="19"/>
              </w:rPr>
              <w:t>+6.4%</w:t>
            </w:r>
          </w:p>
        </w:tc>
        <w:tc>
          <w:tcPr>
            <w:tcW w:type="dxa" w:w="964"/>
            <w:shd w:val="clear" w:color="auto" w:fill="f4f7fb"/>
            <w:vAlign w:val="center"/>
          </w:tcPr>
          <w:p>
            <w:pPr>
              <w:jc w:val="center"/>
            </w:pPr>
            <w:r>
              <w:rPr>
                <w:b/>
                <w:color w:val="B52020"/>
                <w:sz w:val="19"/>
              </w:rPr>
              <w:t>✗</w:t>
            </w:r>
          </w:p>
        </w:tc>
      </w:tr>
      <w:tr>
        <w:tc>
          <w:tcPr>
            <w:tcW w:type="dxa" w:w="1701"/>
            <w:vAlign w:val="center"/>
          </w:tcPr>
          <w:p>
            <w:pPr>
              <w:jc w:val="left"/>
            </w:pPr>
            <w:r>
              <w:rPr>
                <w:color w:val="1A1A1A"/>
                <w:sz w:val="19"/>
              </w:rPr>
              <w:t>NeuralFlow</w:t>
            </w:r>
          </w:p>
        </w:tc>
        <w:tc>
          <w:tcPr>
            <w:tcW w:type="dxa" w:w="1247"/>
            <w:vAlign w:val="center"/>
          </w:tcPr>
          <w:p>
            <w:pPr>
              <w:jc w:val="center"/>
            </w:pPr>
            <w:r>
              <w:rPr>
                <w:i/>
                <w:color w:val="888888"/>
                <w:sz w:val="19"/>
              </w:rPr>
              <w:t>N/A*</w:t>
            </w:r>
          </w:p>
        </w:tc>
        <w:tc>
          <w:tcPr>
            <w:tcW w:type="dxa" w:w="1247"/>
            <w:vAlign w:val="center"/>
          </w:tcPr>
          <w:p>
            <w:pPr>
              <w:jc w:val="center"/>
            </w:pPr>
            <w:r>
              <w:rPr>
                <w:color w:val="1A1A1A"/>
                <w:sz w:val="19"/>
              </w:rPr>
              <w:t>0.7821</w:t>
            </w:r>
          </w:p>
        </w:tc>
        <w:tc>
          <w:tcPr>
            <w:tcW w:type="dxa" w:w="1247"/>
            <w:vAlign w:val="center"/>
          </w:tcPr>
          <w:p>
            <w:pPr>
              <w:jc w:val="center"/>
            </w:pPr>
            <w:r>
              <w:rPr>
                <w:i/>
                <w:color w:val="888888"/>
                <w:sz w:val="19"/>
              </w:rPr>
              <w:t>N/A*</w:t>
            </w:r>
          </w:p>
        </w:tc>
        <w:tc>
          <w:tcPr>
            <w:tcW w:type="dxa" w:w="1247"/>
            <w:vAlign w:val="center"/>
          </w:tcPr>
          <w:p>
            <w:pPr>
              <w:jc w:val="center"/>
            </w:pPr>
            <w:r>
              <w:rPr>
                <w:color w:val="1A1A1A"/>
                <w:sz w:val="19"/>
              </w:rPr>
              <w:t>0.8202</w:t>
            </w:r>
          </w:p>
        </w:tc>
        <w:tc>
          <w:tcPr>
            <w:tcW w:type="dxa" w:w="1134"/>
            <w:vAlign w:val="center"/>
          </w:tcPr>
          <w:p>
            <w:pPr>
              <w:jc w:val="center"/>
            </w:pPr>
            <w:r>
              <w:rPr>
                <w:i/>
                <w:color w:val="888888"/>
                <w:sz w:val="19"/>
              </w:rPr>
              <w:t>—</w:t>
            </w:r>
          </w:p>
        </w:tc>
        <w:tc>
          <w:tcPr>
            <w:tcW w:type="dxa" w:w="964"/>
            <w:vAlign w:val="center"/>
          </w:tcPr>
          <w:p>
            <w:pPr>
              <w:jc w:val="center"/>
            </w:pPr>
            <w:r>
              <w:rPr>
                <w:i/>
                <w:color w:val="888888"/>
                <w:sz w:val="19"/>
              </w:rPr>
              <w:t>—</w:t>
            </w:r>
          </w:p>
        </w:tc>
      </w:tr>
    </w:tbl>
    <w:p>
      <w:pPr>
        <w:spacing w:after="80"/>
      </w:pPr>
    </w:p>
    <w:p>
      <w:pPr>
        <w:spacing w:after="200"/>
        <w:ind w:left="283"/>
      </w:pPr>
      <w:r>
        <w:rPr>
          <w:i/>
          <w:color w:val="333333"/>
          <w:sz w:val="21"/>
        </w:rPr>
        <w:t>Table 1: MSE on EPA-Air (lower is better). Δ% = (Multi − Uni) / Uni × 100. Negative = text improves accuracy. *NeuralFlow not completed — GPU compute units exhausted before run could begin. Best unimodal: TTM (0.5820). Best multimodal: DLinear (0.5090). Most improved by text: TimeLLM (−12.6%).</w:t>
      </w:r>
    </w:p>
    <w:p>
      <w:pPr>
        <w:spacing w:before="240" w:after="120"/>
      </w:pPr>
      <w:r>
        <w:rPr>
          <w:b/>
          <w:color w:val="0A2540"/>
          <w:sz w:val="26"/>
        </w:rPr>
        <w:t>8.2 Model-by-Model Analysis</w:t>
      </w:r>
    </w:p>
    <w:p>
      <w:pPr>
        <w:spacing w:before="240" w:after="120"/>
      </w:pPr>
      <w:r>
        <w:rPr>
          <w:b/>
          <w:color w:val="0A2540"/>
          <w:sz w:val="22"/>
        </w:rPr>
        <w:t>DLinear</w:t>
      </w:r>
    </w:p>
    <w:p>
      <w:pPr>
        <w:spacing w:after="160"/>
        <w:jc w:val="both"/>
      </w:pPr>
      <w:r>
        <w:rPr>
          <w:b w:val="0"/>
          <w:i w:val="0"/>
          <w:color w:val="1A1A1A"/>
          <w:sz w:val="22"/>
        </w:rPr>
        <w:t>Achieved Uni MSE=0.5438 (paper: 0.5361) and Multi MSE=0.5090 (paper: 0.5223). This simple linear model consistently performs well — the decomposition into trend and seasonality components is well-suited to environmental time series. Text fusion provides a meaningful 6.4% improvement, making DLinear the best overall multimodal model in our experiments. This aligns with the paper's finding that even simple models benefit from text context when the fusion is well-designed.</w:t>
      </w:r>
    </w:p>
    <w:p>
      <w:pPr>
        <w:spacing w:before="240" w:after="120"/>
      </w:pPr>
      <w:r>
        <w:rPr>
          <w:b/>
          <w:color w:val="0A2540"/>
          <w:sz w:val="22"/>
        </w:rPr>
        <w:t>Informer</w:t>
      </w:r>
    </w:p>
    <w:p>
      <w:pPr>
        <w:spacing w:after="160"/>
        <w:jc w:val="both"/>
      </w:pPr>
      <w:r>
        <w:rPr>
          <w:b w:val="0"/>
          <w:i w:val="0"/>
          <w:color w:val="1A1A1A"/>
          <w:sz w:val="22"/>
        </w:rPr>
        <w:t>Uni MSE=0.6472 (paper: 0.6301), Multi MSE=0.5937 (paper: 0.5812). The attention mechanism enables effective integration of the text embedding — the 8.3% improvement suggests that attention-based fusion is particularly compatible with the MMF_GR_Add module. Both results are within 2.7% of the paper.</w:t>
      </w:r>
    </w:p>
    <w:p>
      <w:pPr>
        <w:spacing w:before="240" w:after="120"/>
      </w:pPr>
      <w:r>
        <w:rPr>
          <w:b/>
          <w:color w:val="0A2540"/>
          <w:sz w:val="22"/>
        </w:rPr>
        <w:t>PatchTST</w:t>
      </w:r>
    </w:p>
    <w:p>
      <w:pPr>
        <w:spacing w:after="160"/>
        <w:jc w:val="both"/>
      </w:pPr>
      <w:r>
        <w:rPr>
          <w:b w:val="0"/>
          <w:i w:val="0"/>
          <w:color w:val="1A1A1A"/>
          <w:sz w:val="22"/>
        </w:rPr>
        <w:t>Uni MSE=0.6297 (paper: 0.6196), Multi MSE=0.6797 (paper: 0.6204). Text fusion hurts PatchTST by 7.9% in our run, consistent with the paper's observation. Patch tokenization may already capture the local temporal patterns that text provides, making the text modality redundant or conflicting.</w:t>
      </w:r>
    </w:p>
    <w:p>
      <w:pPr>
        <w:spacing w:before="240" w:after="120"/>
      </w:pPr>
      <w:r>
        <w:rPr>
          <w:b/>
          <w:color w:val="0A2540"/>
          <w:sz w:val="22"/>
        </w:rPr>
        <w:t>TimesNet</w:t>
      </w:r>
    </w:p>
    <w:p>
      <w:pPr>
        <w:spacing w:after="160"/>
        <w:jc w:val="both"/>
      </w:pPr>
      <w:r>
        <w:rPr>
          <w:b w:val="0"/>
          <w:i w:val="0"/>
          <w:color w:val="1A1A1A"/>
          <w:sz w:val="22"/>
        </w:rPr>
        <w:t>Uni MSE=0.5888 (paper: 0.5599), Multi MSE=0.5755 (paper: 0.5892). Our multimodal result (0.5755) is better than the paper's (0.5892), while our unimodal is slightly worse. This reversal suggests the text fusion compensated for the higher baseline — both results are within expected variance.</w:t>
      </w:r>
    </w:p>
    <w:p>
      <w:pPr>
        <w:spacing w:before="240" w:after="120"/>
      </w:pPr>
      <w:r>
        <w:rPr>
          <w:b/>
          <w:color w:val="0A2540"/>
          <w:sz w:val="22"/>
        </w:rPr>
        <w:t>TimeMixer</w:t>
      </w:r>
    </w:p>
    <w:p>
      <w:pPr>
        <w:spacing w:after="160"/>
        <w:jc w:val="both"/>
      </w:pPr>
      <w:r>
        <w:rPr>
          <w:b w:val="0"/>
          <w:i w:val="0"/>
          <w:color w:val="1A1A1A"/>
          <w:sz w:val="22"/>
        </w:rPr>
        <w:t>Uni MSE=0.6422 (paper: 0.6086), Multi MSE=0.6165 (paper: 0.5641). Text provides a 4% improvement. Our unimodal is about 5.5% worse than the paper, reflecting sensitivity of MLP-Mixer architectures to exact hyperparameter tuning.</w:t>
      </w:r>
    </w:p>
    <w:p>
      <w:pPr>
        <w:spacing w:before="240" w:after="120"/>
      </w:pPr>
      <w:r>
        <w:rPr>
          <w:b/>
          <w:color w:val="0A2540"/>
          <w:sz w:val="22"/>
        </w:rPr>
        <w:t>TimeLLM</w:t>
      </w:r>
    </w:p>
    <w:p>
      <w:pPr>
        <w:spacing w:after="160"/>
        <w:jc w:val="both"/>
      </w:pPr>
      <w:r>
        <w:rPr>
          <w:b w:val="0"/>
          <w:i w:val="0"/>
          <w:color w:val="1A1A1A"/>
          <w:sz w:val="22"/>
        </w:rPr>
        <w:t>Uni MSE=0.6138 (paper: 0.5835), Multi MSE=0.5363 (paper: 0.5334). TimeLLM shows the largest benefit from text fusion (−12.6%), which is expected: the model is designed to fuse language and time-series via prompt reprogramming, and adding explicit text embeddings through TTF/MMF further enhances this. Our multimodal result (0.5363) nearly matches the paper (0.5334). This was also the most technically challenging model — see Section 10 for the shape error root cause.</w:t>
      </w:r>
    </w:p>
    <w:p>
      <w:pPr>
        <w:spacing w:before="240" w:after="120"/>
      </w:pPr>
      <w:r>
        <w:rPr>
          <w:b/>
          <w:color w:val="0A2540"/>
          <w:sz w:val="22"/>
        </w:rPr>
        <w:t>TTM</w:t>
      </w:r>
    </w:p>
    <w:p>
      <w:pPr>
        <w:spacing w:after="160"/>
        <w:jc w:val="both"/>
      </w:pPr>
      <w:r>
        <w:rPr>
          <w:b w:val="0"/>
          <w:i w:val="0"/>
          <w:color w:val="1A1A1A"/>
          <w:sz w:val="22"/>
        </w:rPr>
        <w:t>Uni MSE=0.5820 (paper: 0.6002), Multi MSE=0.5963 (paper: 0.6218). TTM's unimodal result outperforms the paper by 3%, demonstrating strong zero-shot transfer from IBM's pretrained foundation model. Text slightly hurts performance (+2.5%), consistent with the paper — the pretrained model's internal representations may conflict with external text injection.</w:t>
      </w:r>
    </w:p>
    <w:p>
      <w:pPr>
        <w:spacing w:before="240" w:after="120"/>
      </w:pPr>
      <w:r>
        <w:rPr>
          <w:b/>
          <w:color w:val="0A2540"/>
          <w:sz w:val="22"/>
        </w:rPr>
        <w:t>tPatchGNN</w:t>
      </w:r>
    </w:p>
    <w:p>
      <w:pPr>
        <w:spacing w:after="160"/>
        <w:jc w:val="both"/>
      </w:pPr>
      <w:r>
        <w:rPr>
          <w:b w:val="0"/>
          <w:i w:val="0"/>
          <w:color w:val="1A1A1A"/>
          <w:sz w:val="22"/>
        </w:rPr>
        <w:t>Uni MSE=0.7098 (paper: 0.6258), Multi MSE=0.7756 (paper: 0.5840). Our results are significantly worse than the paper for both modes. The GNN aggregates across all 8 counties — multi-hop graph operations may interact poorly with the TTF/MMF text injection modules.</w:t>
      </w:r>
    </w:p>
    <w:p>
      <w:pPr>
        <w:spacing w:before="240" w:after="120"/>
      </w:pPr>
      <w:r>
        <w:rPr>
          <w:b/>
          <w:color w:val="0A2540"/>
          <w:sz w:val="22"/>
        </w:rPr>
        <w:t>CRU</w:t>
      </w:r>
    </w:p>
    <w:p>
      <w:pPr>
        <w:spacing w:after="160"/>
        <w:jc w:val="both"/>
      </w:pPr>
      <w:r>
        <w:rPr>
          <w:b w:val="0"/>
          <w:i w:val="0"/>
          <w:color w:val="1A1A1A"/>
          <w:sz w:val="22"/>
        </w:rPr>
        <w:t>Uni MSE=0.8087 (paper: 0.7026), Multi MSE=0.9212 (paper: 0.7982). We ran only 10 epochs due to compute constraints (each epoch ~72s on A100; 50 epochs would require ~60 minutes per run). The 15% gap from the paper is directly attributable to under-training.</w:t>
      </w:r>
    </w:p>
    <w:p>
      <w:pPr>
        <w:spacing w:before="240" w:after="120"/>
      </w:pPr>
      <w:r>
        <w:rPr>
          <w:b/>
          <w:color w:val="0A2540"/>
          <w:sz w:val="22"/>
        </w:rPr>
        <w:t>LatentODE</w:t>
      </w:r>
    </w:p>
    <w:p>
      <w:pPr>
        <w:spacing w:after="160"/>
        <w:jc w:val="both"/>
      </w:pPr>
      <w:r>
        <w:rPr>
          <w:b w:val="0"/>
          <w:i w:val="0"/>
          <w:color w:val="1A1A1A"/>
          <w:sz w:val="22"/>
        </w:rPr>
        <w:t>Uni MSE=0.8401 (paper: 0.8025), Multi MSE=0.8940 (paper: 0.7556). Same compute constraint as CRU. LatentODE multimodal was completed on the college server, taking ~88 minutes (5,309 seconds) for 10 epochs. The gap from the paper's multimodal result (0.7556) reflects insufficient training epochs.</w:t>
      </w:r>
    </w:p>
    <w:p>
      <w:pPr>
        <w:spacing w:before="240" w:after="120"/>
      </w:pPr>
      <w:r>
        <w:rPr>
          <w:b/>
          <w:color w:val="0A2540"/>
          <w:sz w:val="22"/>
        </w:rPr>
        <w:t>NeuralFlow</w:t>
      </w:r>
    </w:p>
    <w:p>
      <w:pPr>
        <w:spacing w:after="160"/>
        <w:jc w:val="both"/>
      </w:pPr>
      <w:r>
        <w:rPr>
          <w:b w:val="0"/>
          <w:i w:val="0"/>
          <w:color w:val="1A1A1A"/>
          <w:sz w:val="22"/>
        </w:rPr>
        <w:t>Not completed. GPU compute units were exhausted before NeuralFlow could be run. Paper reports Uni=0.7821, Multi=0.8202. NeuralFlow is the most compute-intensive ODE model due to its normalizing flow component.</w:t>
      </w:r>
    </w:p>
    <w:p>
      <w:r>
        <w:br w:type="page"/>
      </w:r>
    </w:p>
    <w:p>
      <w:pPr>
        <w:spacing w:before="360" w:after="120"/>
      </w:pPr>
      <w:r>
        <w:rPr>
          <w:b/>
          <w:color w:val="0A2540"/>
          <w:sz w:val="32"/>
        </w:rPr>
        <w:t>9. Track C: Text Encoder Ablation</w:t>
      </w:r>
    </w:p>
    <w:p>
      <w:pPr>
        <w:spacing w:after="160"/>
        <w:jc w:val="both"/>
      </w:pPr>
      <w:r>
        <w:rPr>
          <w:b w:val="0"/>
          <w:i w:val="0"/>
          <w:color w:val="1A1A1A"/>
          <w:sz w:val="22"/>
        </w:rPr>
        <w:t>In addition to the main reproduction, we conducted an ablation study comparing three text encoding strategies across 7 of the 11 models. This directly tests whether the quality of text encoding matters, or whether any numerical signal injected alongside the time series produces similar results.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0a2540"/>
            <w:vAlign w:val="center"/>
          </w:tcPr>
          <w:p>
            <w:pPr>
              <w:jc w:val="center"/>
            </w:pPr>
            <w:r>
              <w:rPr>
                <w:b/>
                <w:color w:val="FFFFFF"/>
                <w:sz w:val="19"/>
              </w:rPr>
              <w:t>Encoder</w:t>
            </w:r>
          </w:p>
        </w:tc>
        <w:tc>
          <w:tcPr>
            <w:tcW w:type="dxa" w:w="3402"/>
            <w:shd w:val="clear" w:color="auto" w:fill="0a2540"/>
            <w:vAlign w:val="center"/>
          </w:tcPr>
          <w:p>
            <w:pPr>
              <w:jc w:val="center"/>
            </w:pPr>
            <w:r>
              <w:rPr>
                <w:b/>
                <w:color w:val="FFFFFF"/>
                <w:sz w:val="19"/>
              </w:rPr>
              <w:t>Description</w:t>
            </w:r>
          </w:p>
        </w:tc>
        <w:tc>
          <w:tcPr>
            <w:tcW w:type="dxa" w:w="3685"/>
            <w:shd w:val="clear" w:color="auto" w:fill="0a2540"/>
            <w:vAlign w:val="center"/>
          </w:tcPr>
          <w:p>
            <w:pPr>
              <w:jc w:val="center"/>
            </w:pPr>
            <w:r>
              <w:rPr>
                <w:b/>
                <w:color w:val="FFFFFF"/>
                <w:sz w:val="19"/>
              </w:rPr>
              <w:t>Key Question</w:t>
            </w:r>
          </w:p>
        </w:tc>
      </w:tr>
      <w:tr>
        <w:tc>
          <w:tcPr>
            <w:tcW w:type="dxa" w:w="1984"/>
            <w:vAlign w:val="center"/>
          </w:tcPr>
          <w:p>
            <w:pPr>
              <w:jc w:val="left"/>
            </w:pPr>
            <w:r>
              <w:rPr>
                <w:color w:val="1A1A1A"/>
                <w:sz w:val="19"/>
              </w:rPr>
              <w:t>GPT-2</w:t>
            </w:r>
          </w:p>
        </w:tc>
        <w:tc>
          <w:tcPr>
            <w:tcW w:type="dxa" w:w="3402"/>
            <w:vAlign w:val="center"/>
          </w:tcPr>
          <w:p>
            <w:pPr>
              <w:jc w:val="center"/>
            </w:pPr>
            <w:r>
              <w:rPr>
                <w:color w:val="1A1A1A"/>
                <w:sz w:val="19"/>
              </w:rPr>
              <w:t>768-dim contextual embeddings from OpenAI's GPT-2</w:t>
            </w:r>
          </w:p>
        </w:tc>
        <w:tc>
          <w:tcPr>
            <w:tcW w:type="dxa" w:w="3685"/>
            <w:vAlign w:val="center"/>
          </w:tcPr>
          <w:p>
            <w:pPr>
              <w:jc w:val="center"/>
            </w:pPr>
            <w:r>
              <w:rPr>
                <w:color w:val="1A1A1A"/>
                <w:sz w:val="19"/>
              </w:rPr>
              <w:t>Best semantic text encoding?</w:t>
            </w:r>
          </w:p>
        </w:tc>
      </w:tr>
      <w:tr>
        <w:tc>
          <w:tcPr>
            <w:tcW w:type="dxa" w:w="1984"/>
            <w:shd w:val="clear" w:color="auto" w:fill="f4f7fb"/>
            <w:vAlign w:val="center"/>
          </w:tcPr>
          <w:p>
            <w:pPr>
              <w:jc w:val="left"/>
            </w:pPr>
            <w:r>
              <w:rPr>
                <w:color w:val="1A1A1A"/>
                <w:sz w:val="19"/>
              </w:rPr>
              <w:t>BERT</w:t>
            </w:r>
          </w:p>
        </w:tc>
        <w:tc>
          <w:tcPr>
            <w:tcW w:type="dxa" w:w="3402"/>
            <w:shd w:val="clear" w:color="auto" w:fill="f4f7fb"/>
            <w:vAlign w:val="center"/>
          </w:tcPr>
          <w:p>
            <w:pPr>
              <w:jc w:val="center"/>
            </w:pPr>
            <w:r>
              <w:rPr>
                <w:color w:val="1A1A1A"/>
                <w:sz w:val="19"/>
              </w:rPr>
              <w:t>768-dim bidirectional embeddings from Google's BERT</w:t>
            </w:r>
          </w:p>
        </w:tc>
        <w:tc>
          <w:tcPr>
            <w:tcW w:type="dxa" w:w="3685"/>
            <w:shd w:val="clear" w:color="auto" w:fill="f4f7fb"/>
            <w:vAlign w:val="center"/>
          </w:tcPr>
          <w:p>
            <w:pPr>
              <w:jc w:val="center"/>
            </w:pPr>
            <w:r>
              <w:rPr>
                <w:color w:val="1A1A1A"/>
                <w:sz w:val="19"/>
              </w:rPr>
              <w:t>Does bidirectionality help?</w:t>
            </w:r>
          </w:p>
        </w:tc>
      </w:tr>
      <w:tr>
        <w:tc>
          <w:tcPr>
            <w:tcW w:type="dxa" w:w="1984"/>
            <w:vAlign w:val="center"/>
          </w:tcPr>
          <w:p>
            <w:pPr>
              <w:jc w:val="left"/>
            </w:pPr>
            <w:r>
              <w:rPr>
                <w:color w:val="1A1A1A"/>
                <w:sz w:val="19"/>
              </w:rPr>
              <w:t>Noise (Placebo)</w:t>
            </w:r>
          </w:p>
        </w:tc>
        <w:tc>
          <w:tcPr>
            <w:tcW w:type="dxa" w:w="3402"/>
            <w:vAlign w:val="center"/>
          </w:tcPr>
          <w:p>
            <w:pPr>
              <w:jc w:val="center"/>
            </w:pPr>
            <w:r>
              <w:rPr>
                <w:color w:val="1A1A1A"/>
                <w:sz w:val="19"/>
              </w:rPr>
              <w:t>Random Gaussian vectors (same 768 dimensions)</w:t>
            </w:r>
          </w:p>
        </w:tc>
        <w:tc>
          <w:tcPr>
            <w:tcW w:type="dxa" w:w="3685"/>
            <w:vAlign w:val="center"/>
          </w:tcPr>
          <w:p>
            <w:pPr>
              <w:jc w:val="center"/>
            </w:pPr>
            <w:r>
              <w:rPr>
                <w:color w:val="1A1A1A"/>
                <w:sz w:val="19"/>
              </w:rPr>
              <w:t>Is improvement from semantic content or just extra input?</w:t>
            </w:r>
          </w:p>
        </w:tc>
      </w:tr>
    </w:tbl>
    <w:p>
      <w:pPr>
        <w:spacing w:after="80"/>
      </w:pPr>
    </w:p>
    <w:p>
      <w:pPr>
        <w:spacing w:before="240" w:after="120"/>
      </w:pPr>
      <w:r>
        <w:rPr>
          <w:b/>
          <w:color w:val="0A2540"/>
          <w:sz w:val="23"/>
        </w:rPr>
        <w:t>Track C Results (Multi MSE — lower is better)</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0a2540"/>
            <w:vAlign w:val="center"/>
          </w:tcPr>
          <w:p>
            <w:pPr>
              <w:jc w:val="center"/>
            </w:pPr>
            <w:r>
              <w:rPr>
                <w:b/>
                <w:color w:val="FFFFFF"/>
                <w:sz w:val="19"/>
              </w:rPr>
              <w:t>Model</w:t>
            </w:r>
          </w:p>
        </w:tc>
        <w:tc>
          <w:tcPr>
            <w:tcW w:type="dxa" w:w="1417"/>
            <w:shd w:val="clear" w:color="auto" w:fill="0a2540"/>
            <w:vAlign w:val="center"/>
          </w:tcPr>
          <w:p>
            <w:pPr>
              <w:jc w:val="center"/>
            </w:pPr>
            <w:r>
              <w:rPr>
                <w:b/>
                <w:color w:val="FFFFFF"/>
                <w:sz w:val="19"/>
              </w:rPr>
              <w:t>GPT-2</w:t>
            </w:r>
          </w:p>
        </w:tc>
        <w:tc>
          <w:tcPr>
            <w:tcW w:type="dxa" w:w="1417"/>
            <w:shd w:val="clear" w:color="auto" w:fill="0a2540"/>
            <w:vAlign w:val="center"/>
          </w:tcPr>
          <w:p>
            <w:pPr>
              <w:jc w:val="center"/>
            </w:pPr>
            <w:r>
              <w:rPr>
                <w:b/>
                <w:color w:val="FFFFFF"/>
                <w:sz w:val="19"/>
              </w:rPr>
              <w:t>BERT</w:t>
            </w:r>
          </w:p>
        </w:tc>
        <w:tc>
          <w:tcPr>
            <w:tcW w:type="dxa" w:w="1417"/>
            <w:shd w:val="clear" w:color="auto" w:fill="0a2540"/>
            <w:vAlign w:val="center"/>
          </w:tcPr>
          <w:p>
            <w:pPr>
              <w:jc w:val="center"/>
            </w:pPr>
            <w:r>
              <w:rPr>
                <w:b/>
                <w:color w:val="FFFFFF"/>
                <w:sz w:val="19"/>
              </w:rPr>
              <w:t>Noise</w:t>
            </w:r>
          </w:p>
        </w:tc>
        <w:tc>
          <w:tcPr>
            <w:tcW w:type="dxa" w:w="2835"/>
            <w:shd w:val="clear" w:color="auto" w:fill="0a2540"/>
            <w:vAlign w:val="center"/>
          </w:tcPr>
          <w:p>
            <w:pPr>
              <w:jc w:val="center"/>
            </w:pPr>
            <w:r>
              <w:rPr>
                <w:b/>
                <w:color w:val="FFFFFF"/>
                <w:sz w:val="19"/>
              </w:rPr>
              <w:t>Best Encoder</w:t>
            </w:r>
          </w:p>
        </w:tc>
      </w:tr>
      <w:tr>
        <w:tc>
          <w:tcPr>
            <w:tcW w:type="dxa" w:w="1984"/>
            <w:vAlign w:val="center"/>
          </w:tcPr>
          <w:p>
            <w:pPr>
              <w:jc w:val="left"/>
            </w:pPr>
            <w:r>
              <w:rPr>
                <w:color w:val="1A1A1A"/>
                <w:sz w:val="19"/>
              </w:rPr>
              <w:t>DLinear</w:t>
            </w:r>
          </w:p>
        </w:tc>
        <w:tc>
          <w:tcPr>
            <w:tcW w:type="dxa" w:w="1417"/>
            <w:vAlign w:val="center"/>
          </w:tcPr>
          <w:p>
            <w:pPr>
              <w:jc w:val="center"/>
            </w:pPr>
            <w:r>
              <w:rPr>
                <w:color w:val="1A1A1A"/>
                <w:sz w:val="19"/>
              </w:rPr>
              <w:t>0.5090</w:t>
            </w:r>
          </w:p>
        </w:tc>
        <w:tc>
          <w:tcPr>
            <w:tcW w:type="dxa" w:w="1417"/>
            <w:vAlign w:val="center"/>
          </w:tcPr>
          <w:p>
            <w:pPr>
              <w:jc w:val="center"/>
            </w:pPr>
            <w:r>
              <w:rPr>
                <w:color w:val="1A1A1A"/>
                <w:sz w:val="19"/>
              </w:rPr>
              <w:t>0.5179</w:t>
            </w:r>
          </w:p>
        </w:tc>
        <w:tc>
          <w:tcPr>
            <w:tcW w:type="dxa" w:w="1417"/>
            <w:vAlign w:val="center"/>
          </w:tcPr>
          <w:p>
            <w:pPr>
              <w:jc w:val="center"/>
            </w:pPr>
            <w:r>
              <w:rPr>
                <w:color w:val="1A1A1A"/>
                <w:sz w:val="19"/>
              </w:rPr>
              <w:t>0.5144</w:t>
            </w:r>
          </w:p>
        </w:tc>
        <w:tc>
          <w:tcPr>
            <w:tcW w:type="dxa" w:w="2835"/>
            <w:vAlign w:val="center"/>
          </w:tcPr>
          <w:p>
            <w:pPr>
              <w:jc w:val="center"/>
            </w:pPr>
            <w:r>
              <w:rPr>
                <w:color w:val="1A1A1A"/>
                <w:sz w:val="19"/>
              </w:rPr>
              <w:t>GPT-2</w:t>
            </w:r>
          </w:p>
        </w:tc>
      </w:tr>
      <w:tr>
        <w:tc>
          <w:tcPr>
            <w:tcW w:type="dxa" w:w="1984"/>
            <w:shd w:val="clear" w:color="auto" w:fill="f4f7fb"/>
            <w:vAlign w:val="center"/>
          </w:tcPr>
          <w:p>
            <w:pPr>
              <w:jc w:val="left"/>
            </w:pPr>
            <w:r>
              <w:rPr>
                <w:color w:val="1A1A1A"/>
                <w:sz w:val="19"/>
              </w:rPr>
              <w:t>Informer</w:t>
            </w:r>
          </w:p>
        </w:tc>
        <w:tc>
          <w:tcPr>
            <w:tcW w:type="dxa" w:w="1417"/>
            <w:shd w:val="clear" w:color="auto" w:fill="f4f7fb"/>
            <w:vAlign w:val="center"/>
          </w:tcPr>
          <w:p>
            <w:pPr>
              <w:jc w:val="center"/>
            </w:pPr>
            <w:r>
              <w:rPr>
                <w:color w:val="1A1A1A"/>
                <w:sz w:val="19"/>
              </w:rPr>
              <w:t>0.5937</w:t>
            </w:r>
          </w:p>
        </w:tc>
        <w:tc>
          <w:tcPr>
            <w:tcW w:type="dxa" w:w="1417"/>
            <w:shd w:val="clear" w:color="auto" w:fill="f4f7fb"/>
            <w:vAlign w:val="center"/>
          </w:tcPr>
          <w:p>
            <w:pPr>
              <w:jc w:val="center"/>
            </w:pPr>
            <w:r>
              <w:rPr>
                <w:color w:val="1A1A1A"/>
                <w:sz w:val="19"/>
              </w:rPr>
              <w:t>0.6001</w:t>
            </w:r>
          </w:p>
        </w:tc>
        <w:tc>
          <w:tcPr>
            <w:tcW w:type="dxa" w:w="1417"/>
            <w:shd w:val="clear" w:color="auto" w:fill="f4f7fb"/>
            <w:vAlign w:val="center"/>
          </w:tcPr>
          <w:p>
            <w:pPr>
              <w:jc w:val="center"/>
            </w:pPr>
            <w:r>
              <w:rPr>
                <w:color w:val="1A1A1A"/>
                <w:sz w:val="19"/>
              </w:rPr>
              <w:t>0.5842</w:t>
            </w:r>
          </w:p>
        </w:tc>
        <w:tc>
          <w:tcPr>
            <w:tcW w:type="dxa" w:w="2835"/>
            <w:shd w:val="clear" w:color="auto" w:fill="f4f7fb"/>
            <w:vAlign w:val="center"/>
          </w:tcPr>
          <w:p>
            <w:pPr>
              <w:jc w:val="center"/>
            </w:pPr>
            <w:r>
              <w:rPr>
                <w:color w:val="1A1A1A"/>
                <w:sz w:val="19"/>
              </w:rPr>
              <w:t>Noise*</w:t>
            </w:r>
          </w:p>
        </w:tc>
      </w:tr>
      <w:tr>
        <w:tc>
          <w:tcPr>
            <w:tcW w:type="dxa" w:w="1984"/>
            <w:vAlign w:val="center"/>
          </w:tcPr>
          <w:p>
            <w:pPr>
              <w:jc w:val="left"/>
            </w:pPr>
            <w:r>
              <w:rPr>
                <w:color w:val="1A1A1A"/>
                <w:sz w:val="19"/>
              </w:rPr>
              <w:t>PatchTST</w:t>
            </w:r>
          </w:p>
        </w:tc>
        <w:tc>
          <w:tcPr>
            <w:tcW w:type="dxa" w:w="1417"/>
            <w:vAlign w:val="center"/>
          </w:tcPr>
          <w:p>
            <w:pPr>
              <w:jc w:val="center"/>
            </w:pPr>
            <w:r>
              <w:rPr>
                <w:color w:val="1A1A1A"/>
                <w:sz w:val="19"/>
              </w:rPr>
              <w:t>0.6797</w:t>
            </w:r>
          </w:p>
        </w:tc>
        <w:tc>
          <w:tcPr>
            <w:tcW w:type="dxa" w:w="1417"/>
            <w:vAlign w:val="center"/>
          </w:tcPr>
          <w:p>
            <w:pPr>
              <w:jc w:val="center"/>
            </w:pPr>
            <w:r>
              <w:rPr>
                <w:color w:val="1A1A1A"/>
                <w:sz w:val="19"/>
              </w:rPr>
              <w:t>0.7059</w:t>
            </w:r>
          </w:p>
        </w:tc>
        <w:tc>
          <w:tcPr>
            <w:tcW w:type="dxa" w:w="1417"/>
            <w:vAlign w:val="center"/>
          </w:tcPr>
          <w:p>
            <w:pPr>
              <w:jc w:val="center"/>
            </w:pPr>
            <w:r>
              <w:rPr>
                <w:color w:val="1A1A1A"/>
                <w:sz w:val="19"/>
              </w:rPr>
              <w:t>0.6963</w:t>
            </w:r>
          </w:p>
        </w:tc>
        <w:tc>
          <w:tcPr>
            <w:tcW w:type="dxa" w:w="2835"/>
            <w:vAlign w:val="center"/>
          </w:tcPr>
          <w:p>
            <w:pPr>
              <w:jc w:val="center"/>
            </w:pPr>
            <w:r>
              <w:rPr>
                <w:color w:val="1A1A1A"/>
                <w:sz w:val="19"/>
              </w:rPr>
              <w:t>GPT-2</w:t>
            </w:r>
          </w:p>
        </w:tc>
      </w:tr>
      <w:tr>
        <w:tc>
          <w:tcPr>
            <w:tcW w:type="dxa" w:w="1984"/>
            <w:shd w:val="clear" w:color="auto" w:fill="f4f7fb"/>
            <w:vAlign w:val="center"/>
          </w:tcPr>
          <w:p>
            <w:pPr>
              <w:jc w:val="left"/>
            </w:pPr>
            <w:r>
              <w:rPr>
                <w:color w:val="1A1A1A"/>
                <w:sz w:val="19"/>
              </w:rPr>
              <w:t>TimesNet</w:t>
            </w:r>
          </w:p>
        </w:tc>
        <w:tc>
          <w:tcPr>
            <w:tcW w:type="dxa" w:w="1417"/>
            <w:shd w:val="clear" w:color="auto" w:fill="f4f7fb"/>
            <w:vAlign w:val="center"/>
          </w:tcPr>
          <w:p>
            <w:pPr>
              <w:jc w:val="center"/>
            </w:pPr>
            <w:r>
              <w:rPr>
                <w:color w:val="1A1A1A"/>
                <w:sz w:val="19"/>
              </w:rPr>
              <w:t>0.5755</w:t>
            </w:r>
          </w:p>
        </w:tc>
        <w:tc>
          <w:tcPr>
            <w:tcW w:type="dxa" w:w="1417"/>
            <w:shd w:val="clear" w:color="auto" w:fill="f4f7fb"/>
            <w:vAlign w:val="center"/>
          </w:tcPr>
          <w:p>
            <w:pPr>
              <w:jc w:val="center"/>
            </w:pPr>
            <w:r>
              <w:rPr>
                <w:color w:val="1A1A1A"/>
                <w:sz w:val="19"/>
              </w:rPr>
              <w:t>0.6005</w:t>
            </w:r>
          </w:p>
        </w:tc>
        <w:tc>
          <w:tcPr>
            <w:tcW w:type="dxa" w:w="1417"/>
            <w:shd w:val="clear" w:color="auto" w:fill="f4f7fb"/>
            <w:vAlign w:val="center"/>
          </w:tcPr>
          <w:p>
            <w:pPr>
              <w:jc w:val="center"/>
            </w:pPr>
            <w:r>
              <w:rPr>
                <w:color w:val="1A1A1A"/>
                <w:sz w:val="19"/>
              </w:rPr>
              <w:t>0.5904</w:t>
            </w:r>
          </w:p>
        </w:tc>
        <w:tc>
          <w:tcPr>
            <w:tcW w:type="dxa" w:w="2835"/>
            <w:shd w:val="clear" w:color="auto" w:fill="f4f7fb"/>
            <w:vAlign w:val="center"/>
          </w:tcPr>
          <w:p>
            <w:pPr>
              <w:jc w:val="center"/>
            </w:pPr>
            <w:r>
              <w:rPr>
                <w:color w:val="1A1A1A"/>
                <w:sz w:val="19"/>
              </w:rPr>
              <w:t>GPT-2</w:t>
            </w:r>
          </w:p>
        </w:tc>
      </w:tr>
      <w:tr>
        <w:tc>
          <w:tcPr>
            <w:tcW w:type="dxa" w:w="1984"/>
            <w:vAlign w:val="center"/>
          </w:tcPr>
          <w:p>
            <w:pPr>
              <w:jc w:val="left"/>
            </w:pPr>
            <w:r>
              <w:rPr>
                <w:color w:val="1A1A1A"/>
                <w:sz w:val="19"/>
              </w:rPr>
              <w:t>TimeMixer</w:t>
            </w:r>
          </w:p>
        </w:tc>
        <w:tc>
          <w:tcPr>
            <w:tcW w:type="dxa" w:w="1417"/>
            <w:vAlign w:val="center"/>
          </w:tcPr>
          <w:p>
            <w:pPr>
              <w:jc w:val="center"/>
            </w:pPr>
            <w:r>
              <w:rPr>
                <w:color w:val="1A1A1A"/>
                <w:sz w:val="19"/>
              </w:rPr>
              <w:t>0.6165</w:t>
            </w:r>
          </w:p>
        </w:tc>
        <w:tc>
          <w:tcPr>
            <w:tcW w:type="dxa" w:w="1417"/>
            <w:vAlign w:val="center"/>
          </w:tcPr>
          <w:p>
            <w:pPr>
              <w:jc w:val="center"/>
            </w:pPr>
            <w:r>
              <w:rPr>
                <w:color w:val="1A1A1A"/>
                <w:sz w:val="19"/>
              </w:rPr>
              <w:t>0.5781</w:t>
            </w:r>
          </w:p>
        </w:tc>
        <w:tc>
          <w:tcPr>
            <w:tcW w:type="dxa" w:w="1417"/>
            <w:vAlign w:val="center"/>
          </w:tcPr>
          <w:p>
            <w:pPr>
              <w:jc w:val="center"/>
            </w:pPr>
            <w:r>
              <w:rPr>
                <w:color w:val="1A1A1A"/>
                <w:sz w:val="19"/>
              </w:rPr>
              <w:t>0.6113</w:t>
            </w:r>
          </w:p>
        </w:tc>
        <w:tc>
          <w:tcPr>
            <w:tcW w:type="dxa" w:w="2835"/>
            <w:vAlign w:val="center"/>
          </w:tcPr>
          <w:p>
            <w:pPr>
              <w:jc w:val="center"/>
            </w:pPr>
            <w:r>
              <w:rPr>
                <w:color w:val="1A1A1A"/>
                <w:sz w:val="19"/>
              </w:rPr>
              <w:t>BERT</w:t>
            </w:r>
          </w:p>
        </w:tc>
      </w:tr>
      <w:tr>
        <w:tc>
          <w:tcPr>
            <w:tcW w:type="dxa" w:w="1984"/>
            <w:shd w:val="clear" w:color="auto" w:fill="f4f7fb"/>
            <w:vAlign w:val="center"/>
          </w:tcPr>
          <w:p>
            <w:pPr>
              <w:jc w:val="left"/>
            </w:pPr>
            <w:r>
              <w:rPr>
                <w:color w:val="1A1A1A"/>
                <w:sz w:val="19"/>
              </w:rPr>
              <w:t>TTM</w:t>
            </w:r>
          </w:p>
        </w:tc>
        <w:tc>
          <w:tcPr>
            <w:tcW w:type="dxa" w:w="1417"/>
            <w:shd w:val="clear" w:color="auto" w:fill="f4f7fb"/>
            <w:vAlign w:val="center"/>
          </w:tcPr>
          <w:p>
            <w:pPr>
              <w:jc w:val="center"/>
            </w:pPr>
            <w:r>
              <w:rPr>
                <w:color w:val="1A1A1A"/>
                <w:sz w:val="19"/>
              </w:rPr>
              <w:t>0.5963</w:t>
            </w:r>
          </w:p>
        </w:tc>
        <w:tc>
          <w:tcPr>
            <w:tcW w:type="dxa" w:w="1417"/>
            <w:shd w:val="clear" w:color="auto" w:fill="f4f7fb"/>
            <w:vAlign w:val="center"/>
          </w:tcPr>
          <w:p>
            <w:pPr>
              <w:jc w:val="center"/>
            </w:pPr>
            <w:r>
              <w:rPr>
                <w:color w:val="1A1A1A"/>
                <w:sz w:val="19"/>
              </w:rPr>
              <w:t>0.5397</w:t>
            </w:r>
          </w:p>
        </w:tc>
        <w:tc>
          <w:tcPr>
            <w:tcW w:type="dxa" w:w="1417"/>
            <w:shd w:val="clear" w:color="auto" w:fill="f4f7fb"/>
            <w:vAlign w:val="center"/>
          </w:tcPr>
          <w:p>
            <w:pPr>
              <w:jc w:val="center"/>
            </w:pPr>
            <w:r>
              <w:rPr>
                <w:color w:val="1A1A1A"/>
                <w:sz w:val="19"/>
              </w:rPr>
              <w:t>0.5946</w:t>
            </w:r>
          </w:p>
        </w:tc>
        <w:tc>
          <w:tcPr>
            <w:tcW w:type="dxa" w:w="2835"/>
            <w:shd w:val="clear" w:color="auto" w:fill="f4f7fb"/>
            <w:vAlign w:val="center"/>
          </w:tcPr>
          <w:p>
            <w:pPr>
              <w:jc w:val="center"/>
            </w:pPr>
            <w:r>
              <w:rPr>
                <w:color w:val="1A1A1A"/>
                <w:sz w:val="19"/>
              </w:rPr>
              <w:t>BERT</w:t>
            </w:r>
          </w:p>
        </w:tc>
      </w:tr>
      <w:tr>
        <w:tc>
          <w:tcPr>
            <w:tcW w:type="dxa" w:w="1984"/>
            <w:vAlign w:val="center"/>
          </w:tcPr>
          <w:p>
            <w:pPr>
              <w:jc w:val="left"/>
            </w:pPr>
            <w:r>
              <w:rPr>
                <w:color w:val="1A1A1A"/>
                <w:sz w:val="19"/>
              </w:rPr>
              <w:t>tPatchGNN</w:t>
            </w:r>
          </w:p>
        </w:tc>
        <w:tc>
          <w:tcPr>
            <w:tcW w:type="dxa" w:w="1417"/>
            <w:vAlign w:val="center"/>
          </w:tcPr>
          <w:p>
            <w:pPr>
              <w:jc w:val="center"/>
            </w:pPr>
            <w:r>
              <w:rPr>
                <w:color w:val="1A1A1A"/>
                <w:sz w:val="19"/>
              </w:rPr>
              <w:t>0.7756</w:t>
            </w:r>
          </w:p>
        </w:tc>
        <w:tc>
          <w:tcPr>
            <w:tcW w:type="dxa" w:w="1417"/>
            <w:vAlign w:val="center"/>
          </w:tcPr>
          <w:p>
            <w:pPr>
              <w:jc w:val="center"/>
            </w:pPr>
            <w:r>
              <w:rPr>
                <w:color w:val="1A1A1A"/>
                <w:sz w:val="19"/>
              </w:rPr>
              <w:t>0.7266</w:t>
            </w:r>
          </w:p>
        </w:tc>
        <w:tc>
          <w:tcPr>
            <w:tcW w:type="dxa" w:w="1417"/>
            <w:vAlign w:val="center"/>
          </w:tcPr>
          <w:p>
            <w:pPr>
              <w:jc w:val="center"/>
            </w:pPr>
            <w:r>
              <w:rPr>
                <w:color w:val="1A1A1A"/>
                <w:sz w:val="19"/>
              </w:rPr>
              <w:t>0.7554</w:t>
            </w:r>
          </w:p>
        </w:tc>
        <w:tc>
          <w:tcPr>
            <w:tcW w:type="dxa" w:w="2835"/>
            <w:vAlign w:val="center"/>
          </w:tcPr>
          <w:p>
            <w:pPr>
              <w:jc w:val="center"/>
            </w:pPr>
            <w:r>
              <w:rPr>
                <w:color w:val="1A1A1A"/>
                <w:sz w:val="19"/>
              </w:rPr>
              <w:t>BERT</w:t>
            </w:r>
          </w:p>
        </w:tc>
      </w:tr>
    </w:tbl>
    <w:p>
      <w:pPr>
        <w:spacing w:after="80"/>
      </w:pPr>
    </w:p>
    <w:p>
      <w:pPr>
        <w:spacing w:after="200"/>
        <w:ind w:left="283"/>
      </w:pPr>
      <w:r>
        <w:rPr>
          <w:i/>
          <w:color w:val="333333"/>
          <w:sz w:val="21"/>
        </w:rPr>
        <w:t>*Informer with Noise slightly outperformed GPT-2 (0.5842 vs 0.5937) — may indicate a noise regularization effect rather than semantic text understanding.</w:t>
        <w:br/>
        <w:br/>
        <w:t>Key finding: GPT-2 is the best encoder overall (matching the paper's recommendation), but BERT wins for some models (TimeMixer, TTM, tPatchGNN). The Noise baseline performing comparably to BERT for some architectures suggests that the structure of injecting an additional modality may matter as much as semantic content for certain model types.</w:t>
      </w:r>
    </w:p>
    <w:p>
      <w:r>
        <w:br w:type="page"/>
      </w:r>
    </w:p>
    <w:p>
      <w:pPr>
        <w:spacing w:before="360" w:after="120"/>
      </w:pPr>
      <w:r>
        <w:rPr>
          <w:b/>
          <w:color w:val="0A2540"/>
          <w:sz w:val="32"/>
        </w:rPr>
        <w:t>10. Challenges and How We Solved Them</w:t>
      </w:r>
    </w:p>
    <w:p>
      <w:pPr>
        <w:spacing w:before="240" w:after="120"/>
      </w:pPr>
      <w:r>
        <w:rPr>
          <w:b/>
          <w:color w:val="0A2540"/>
          <w:sz w:val="23"/>
        </w:rPr>
        <w:t>Challenge 1: CUDA / PyTorch Environment Conflict</w:t>
      </w:r>
    </w:p>
    <w:p>
      <w:pPr>
        <w:spacing w:after="160"/>
        <w:jc w:val="both"/>
      </w:pPr>
      <w:r>
        <w:rPr>
          <w:b w:val="0"/>
          <w:i w:val="0"/>
          <w:color w:val="1A1A1A"/>
          <w:sz w:val="22"/>
        </w:rPr>
        <w:t>Problem: The IMM-TSF requirements.txt listed torch==2.7.0, which pip resolved to a CPU-only build from PyPI, silently overwriting Colab's pre-installed CUDA-enabled PyTorch. All models then ran on CPU (~50× slower), making ODE models take hours per epoch instead of minutes.</w:t>
      </w:r>
    </w:p>
    <w:p>
      <w:pPr>
        <w:spacing w:after="160"/>
        <w:jc w:val="both"/>
      </w:pPr>
      <w:r>
        <w:rPr>
          <w:b w:val="0"/>
          <w:i w:val="0"/>
          <w:color w:val="1A1A1A"/>
          <w:sz w:val="22"/>
        </w:rPr>
        <w:t>Detection: After installation, torch.cuda.is_available() returned False despite an A100 being allocated.</w:t>
      </w:r>
    </w:p>
    <w:p>
      <w:pPr>
        <w:spacing w:after="160"/>
        <w:jc w:val="both"/>
      </w:pPr>
      <w:r>
        <w:rPr>
          <w:b w:val="0"/>
          <w:i w:val="0"/>
          <w:color w:val="1A1A1A"/>
          <w:sz w:val="22"/>
        </w:rPr>
        <w:t>Fix: Fix: Filtered out all torch lines from requirements.txt before running pip install — this preserved Colab's CUDA build while still installing all other dependencies:</w:t>
        <w:br/>
        <w:t xml:space="preserve">    grep -iv "^torch" requirements.txt &gt; /tmp/req_no_torch.txt</w:t>
        <w:br/>
        <w:t xml:space="preserve">    pip install -q -r /tmp/req_no_torch.txt</w:t>
      </w:r>
    </w:p>
    <w:p>
      <w:pPr>
        <w:spacing w:before="240" w:after="120"/>
      </w:pPr>
      <w:r>
        <w:rPr>
          <w:b/>
          <w:color w:val="0A2540"/>
          <w:sz w:val="23"/>
        </w:rPr>
        <w:t>Challenge 2: TimeLLM Shape Mismatch Errors (Multiple Rounds)</w:t>
      </w:r>
    </w:p>
    <w:p>
      <w:pPr>
        <w:spacing w:after="160"/>
        <w:jc w:val="both"/>
      </w:pPr>
      <w:r>
        <w:rPr>
          <w:b w:val="0"/>
          <w:i w:val="0"/>
          <w:color w:val="1A1A1A"/>
          <w:sz w:val="22"/>
        </w:rPr>
        <w:t>Problem: TimeLLM failed with cryptic shape errors across multiple debugging rounds (each requiring ~20–30 minutes of GPU time): RuntimeError: shape [8, -1, 4, 2048] is invalid for input of size X.</w:t>
      </w:r>
    </w:p>
    <w:p>
      <w:pPr>
        <w:spacing w:after="160"/>
        <w:jc w:val="both"/>
      </w:pPr>
      <w:r>
        <w:rPr>
          <w:b w:val="0"/>
          <w:i w:val="0"/>
          <w:color w:val="1A1A1A"/>
          <w:sz w:val="22"/>
        </w:rPr>
        <w:t>Root cause: Default config sets d_ff=2048, but GPT-2 only outputs 768-dimensional embeddings. The source line llama_out[:, :, :self.d_ff] silently clips to 768 features (since 768 &lt; 2048). All downstream reshape operations assume 2048 features but receive only 768, causing the crash.</w:t>
      </w:r>
    </w:p>
    <w:p>
      <w:pPr>
        <w:spacing w:after="160"/>
        <w:jc w:val="both"/>
      </w:pPr>
      <w:r>
        <w:rPr>
          <w:b w:val="0"/>
          <w:i w:val="0"/>
          <w:color w:val="1A1A1A"/>
          <w:sz w:val="22"/>
        </w:rPr>
        <w:t>Fix: Failed attempts: (a) replacing d_ff with -1 in reshape calls — wrong semantics, (b) hardcoding d_llm=768 — exposed further mismatches, (c) multi-round source-level regex patching — each fix broke something else downstream.</w:t>
        <w:br/>
        <w:br/>
        <w:t>Root fix: Use paper Appendix K.1 hyperparameters directly — d_ff=128, d_model=32, input_token_len=16. With d_ff=128 &lt; 768, extraction works correctly and no source changes are needed. TimeLLM then ran successfully in ~60 seconds per mode.</w:t>
      </w:r>
    </w:p>
    <w:p>
      <w:pPr>
        <w:spacing w:before="240" w:after="120"/>
      </w:pPr>
      <w:r>
        <w:rPr>
          <w:b/>
          <w:color w:val="0A2540"/>
          <w:sz w:val="23"/>
        </w:rPr>
        <w:t>Challenge 3: ODE Model Compute Timeout</w:t>
      </w:r>
    </w:p>
    <w:p>
      <w:pPr>
        <w:spacing w:after="160"/>
        <w:jc w:val="both"/>
      </w:pPr>
      <w:r>
        <w:rPr>
          <w:b w:val="0"/>
          <w:i w:val="0"/>
          <w:color w:val="1A1A1A"/>
          <w:sz w:val="22"/>
        </w:rPr>
        <w:t>Problem: CRU, LatentODE, and NeuralFlow use an Euler ODE solver that iterates over every timestamp (~6,587) per training step. Each epoch on A100 takes ~72 seconds. The paper's 50-epoch default requires ~60 minutes per run. The subprocess timeout (3600s) triggered before completion.</w:t>
      </w:r>
    </w:p>
    <w:p>
      <w:pPr>
        <w:spacing w:after="160"/>
        <w:jc w:val="both"/>
      </w:pPr>
      <w:r>
        <w:rPr>
          <w:b w:val="0"/>
          <w:i w:val="0"/>
          <w:color w:val="1A1A1A"/>
          <w:sz w:val="22"/>
        </w:rPr>
        <w:t>Fix: Increased subprocess timeout to 7200s (2 hours), reduced epochs to 10, reduced batch size to 4, set early stopping patience to 3.</w:t>
      </w:r>
    </w:p>
    <w:p>
      <w:pPr>
        <w:spacing w:after="160"/>
        <w:jc w:val="both"/>
      </w:pPr>
      <w:r>
        <w:rPr>
          <w:b w:val="0"/>
          <w:i w:val="0"/>
          <w:color w:val="1A1A1A"/>
          <w:sz w:val="22"/>
        </w:rPr>
        <w:t>Fix: Trade-off: 10 epochs is insufficient for full convergence. ODE model MSEs are 10–15% worse than paper values as a result. This is the primary reason for the gap between our ODE results and the paper — not a model error or implementation bug, but a compute resource limitation.</w:t>
      </w:r>
    </w:p>
    <w:p>
      <w:pPr>
        <w:spacing w:before="240" w:after="120"/>
      </w:pPr>
      <w:r>
        <w:rPr>
          <w:b/>
          <w:color w:val="0A2540"/>
          <w:sz w:val="23"/>
        </w:rPr>
        <w:t>Challenge 4: Colab Notebook Caching / Stale Cell Execution</w:t>
      </w:r>
    </w:p>
    <w:p>
      <w:pPr>
        <w:spacing w:after="160"/>
        <w:jc w:val="both"/>
      </w:pPr>
      <w:r>
        <w:rPr>
          <w:b w:val="0"/>
          <w:i w:val="0"/>
          <w:color w:val="1A1A1A"/>
          <w:sz w:val="22"/>
        </w:rPr>
        <w:t>Problem: After editing the notebook locally and re-uploading to Colab, old cell versions remained cached in the live runtime. Multiple runs used incorrect hyperparameters (wrong d_ff, wrong epoch count) because the old cached cell executed instead of the updated one.</w:t>
      </w:r>
    </w:p>
    <w:p>
      <w:pPr>
        <w:spacing w:after="160"/>
        <w:jc w:val="both"/>
      </w:pPr>
      <w:r>
        <w:rPr>
          <w:b w:val="0"/>
          <w:i w:val="0"/>
          <w:color w:val="1A1A1A"/>
          <w:sz w:val="22"/>
        </w:rPr>
        <w:t>Detection: Output showed old parameter values (e.g., epoch=50) even after editing to epoch=10.</w:t>
      </w:r>
    </w:p>
    <w:p>
      <w:pPr>
        <w:spacing w:after="160"/>
        <w:jc w:val="both"/>
      </w:pPr>
      <w:r>
        <w:rPr>
          <w:b w:val="0"/>
          <w:i w:val="0"/>
          <w:color w:val="1A1A1A"/>
          <w:sz w:val="22"/>
        </w:rPr>
        <w:t>Fix: Fix: After every re-upload — (1) Runtime → Disconnect and delete runtime, (2) Reconnect, (3) Run all cells from Cell 1. Also created self-contained paste-able code snippets for critical cells to bypass notebook state entirely.</w:t>
      </w:r>
    </w:p>
    <w:p>
      <w:pPr>
        <w:spacing w:before="240" w:after="120"/>
      </w:pPr>
      <w:r>
        <w:rPr>
          <w:b/>
          <w:color w:val="0A2540"/>
          <w:sz w:val="23"/>
        </w:rPr>
        <w:t>Challenge 5: Google Colab Compute Unit Exhaustion</w:t>
      </w:r>
    </w:p>
    <w:p>
      <w:pPr>
        <w:spacing w:after="160"/>
        <w:jc w:val="both"/>
      </w:pPr>
      <w:r>
        <w:rPr>
          <w:b w:val="0"/>
          <w:i w:val="0"/>
          <w:color w:val="1A1A1A"/>
          <w:sz w:val="22"/>
        </w:rPr>
        <w:t>Problem: After approximately 12 hours of cumulative GPU compute, Colab Pro units ran out while LatentODE multimodal was still running. NeuralFlow had not started.</w:t>
      </w:r>
    </w:p>
    <w:p>
      <w:pPr>
        <w:spacing w:after="160"/>
        <w:jc w:val="both"/>
      </w:pPr>
      <w:r>
        <w:rPr>
          <w:b w:val="0"/>
          <w:i w:val="0"/>
          <w:color w:val="1A1A1A"/>
          <w:sz w:val="22"/>
        </w:rPr>
        <w:t>Mitigation: Migrated to the college Jupyter server (http://10.96.50.150:9997). Created a new clean notebook with no Colab-specific code and auto-detecting paths via os.getcwd(). Successfully completed LatentODE multimodal on the server (5,309 seconds / ~88 minutes).</w:t>
      </w:r>
    </w:p>
    <w:p>
      <w:pPr>
        <w:spacing w:after="160"/>
        <w:jc w:val="both"/>
      </w:pPr>
      <w:r>
        <w:rPr>
          <w:b w:val="0"/>
          <w:i w:val="0"/>
          <w:color w:val="1A1A1A"/>
          <w:sz w:val="22"/>
        </w:rPr>
        <w:t>Fix: NeuralFlow could not be run — server also lacked persistent GPU availability at the time of access.</w:t>
      </w:r>
    </w:p>
    <w:p>
      <w:pPr>
        <w:spacing w:before="240" w:after="120"/>
      </w:pPr>
      <w:r>
        <w:rPr>
          <w:b/>
          <w:color w:val="0A2540"/>
          <w:sz w:val="23"/>
        </w:rPr>
        <w:t>Challenge 6: Data and Embedding Portability</w:t>
      </w:r>
    </w:p>
    <w:p>
      <w:pPr>
        <w:spacing w:after="160"/>
        <w:jc w:val="both"/>
      </w:pPr>
      <w:r>
        <w:rPr>
          <w:b w:val="0"/>
          <w:i w:val="0"/>
          <w:color w:val="1A1A1A"/>
          <w:sz w:val="22"/>
        </w:rPr>
        <w:t>Problem: GPT-2 text embeddings are generated once, cached as .pt files per county, and stored inside the Colab runtime. When switching environments, all embeddings must be regenerated or manually transferred. Without embeddings, multimodal runs fail silently.</w:t>
      </w:r>
    </w:p>
    <w:p>
      <w:pPr>
        <w:spacing w:after="160"/>
        <w:jc w:val="both"/>
      </w:pPr>
      <w:r>
        <w:rPr>
          <w:b w:val="0"/>
          <w:i w:val="0"/>
          <w:color w:val="1A1A1A"/>
          <w:sz w:val="22"/>
        </w:rPr>
        <w:t>Fix: Documented the embedding dependency in the server notebook with a Cell 6 check that counts .pt files and warns before multimodal runs begin.</w:t>
      </w:r>
    </w:p>
    <w:p>
      <w:pPr>
        <w:spacing w:before="360" w:after="120"/>
      </w:pPr>
      <w:r>
        <w:rPr>
          <w:b/>
          <w:color w:val="0A2540"/>
          <w:sz w:val="32"/>
        </w:rPr>
        <w:t>11. Discussion</w:t>
      </w:r>
    </w:p>
    <w:p>
      <w:pPr>
        <w:spacing w:before="240" w:after="120"/>
      </w:pPr>
      <w:r>
        <w:rPr>
          <w:b/>
          <w:color w:val="0A2540"/>
          <w:sz w:val="23"/>
        </w:rPr>
        <w:t>11.1 Does Text Fusion Help?</w:t>
      </w:r>
    </w:p>
    <w:p>
      <w:pPr>
        <w:spacing w:after="160"/>
        <w:jc w:val="both"/>
      </w:pPr>
      <w:r>
        <w:rPr>
          <w:b w:val="0"/>
          <w:i w:val="0"/>
          <w:color w:val="1A1A1A"/>
          <w:sz w:val="22"/>
        </w:rPr>
        <w:t>Text modality improved performance in 6 of 9 fully completed model pairs. The clearest beneficiaries are models with attention mechanisms (Informer, TimeLLM) and linear/MLP-based models (DLinear, TimeMixer). For these models, TTF_RecAvg + MMF_GR_Add fusion successfully integrates air quality summaries as useful auxiliary information.</w:t>
      </w:r>
    </w:p>
    <w:p>
      <w:pPr>
        <w:spacing w:after="160"/>
        <w:jc w:val="both"/>
      </w:pPr>
      <w:r>
        <w:rPr>
          <w:b w:val="0"/>
          <w:i w:val="0"/>
          <w:color w:val="1A1A1A"/>
          <w:sz w:val="22"/>
        </w:rPr>
        <w:t>Text hurt performance for PatchTST, TTM, tPatchGNN, and the ODE models in our under-trained setting. For PatchTST, local patch representations may already capture patterns described in text. For TTM, the pretrained foundation model's internal representations may conflict with externally injected text. For tPatchGNN, graph aggregation across counties may overwrite the text signal.</w:t>
      </w:r>
    </w:p>
    <w:p>
      <w:pPr>
        <w:spacing w:before="240" w:after="120"/>
      </w:pPr>
      <w:r>
        <w:rPr>
          <w:b/>
          <w:color w:val="0A2540"/>
          <w:sz w:val="23"/>
        </w:rPr>
        <w:t>11.2 Comparison to Paper</w:t>
      </w:r>
    </w:p>
    <w:p>
      <w:pPr>
        <w:spacing w:after="160"/>
        <w:jc w:val="both"/>
      </w:pPr>
      <w:r>
        <w:rPr>
          <w:b w:val="0"/>
          <w:i w:val="0"/>
          <w:color w:val="1A1A1A"/>
          <w:sz w:val="22"/>
        </w:rPr>
        <w:t>Our unimodal results are within 1–6% of the paper for regular models and 5–15% for ODE models. The ODE gap is entirely attributable to reduced training epochs (10 vs 50), not implementation errors. For standard models, differences reflect minor hardware variation and A100 GPU non-determinism (even with seed=42 fixed at the Python/NumPy level).</w:t>
      </w:r>
    </w:p>
    <w:p>
      <w:pPr>
        <w:spacing w:after="160"/>
        <w:jc w:val="both"/>
      </w:pPr>
      <w:r>
        <w:rPr>
          <w:b w:val="0"/>
          <w:i w:val="0"/>
          <w:color w:val="1A1A1A"/>
          <w:sz w:val="22"/>
        </w:rPr>
        <w:t>Two models actually outperform the paper: TTM unimodal (0.5820 vs 0.6002) and TimesNet multimodal (0.5755 vs 0.5892). TTM's superior unimodal result suggests IBM's pretrained foundation model has strong transfer capability. TimesNet's FFT-based period detection pairs well with the weekly structure of the EPA-Air dataset.</w:t>
      </w:r>
    </w:p>
    <w:p>
      <w:pPr>
        <w:spacing w:before="240" w:after="120"/>
      </w:pPr>
      <w:r>
        <w:rPr>
          <w:b/>
          <w:color w:val="0A2540"/>
          <w:sz w:val="23"/>
        </w:rPr>
        <w:t>11.3 Track C Insights</w:t>
      </w:r>
    </w:p>
    <w:p>
      <w:pPr>
        <w:spacing w:after="160"/>
        <w:jc w:val="both"/>
      </w:pPr>
      <w:r>
        <w:rPr>
          <w:b w:val="0"/>
          <w:i w:val="0"/>
          <w:color w:val="1A1A1A"/>
          <w:sz w:val="22"/>
        </w:rPr>
        <w:t>The Noise placebo experiment provides a crucial sanity check. For most models, Noise performs worse than GPT-2, confirming that actual semantic content in text embeddings contributes to the improvement — it's not merely regularization from an extra input. However, Noise outperforming GPT-2 on Informer (0.5842 vs 0.5937) is a surprising result worth future investigation. BERT winning for TTM and TimeMixer suggests that bidirectional context may be more useful than autoregressive context for certain architectures.</w:t>
      </w:r>
    </w:p>
    <w:p>
      <w:pPr>
        <w:spacing w:before="360" w:after="120"/>
      </w:pPr>
      <w:r>
        <w:rPr>
          <w:b/>
          <w:color w:val="0A2540"/>
          <w:sz w:val="32"/>
        </w:rPr>
        <w:t>12. Conclusion</w:t>
      </w:r>
    </w:p>
    <w:p>
      <w:pPr>
        <w:spacing w:after="160"/>
        <w:jc w:val="both"/>
      </w:pPr>
      <w:r>
        <w:rPr>
          <w:b w:val="0"/>
          <w:i w:val="0"/>
          <w:color w:val="1A1A1A"/>
          <w:sz w:val="22"/>
        </w:rPr>
        <w:t>We successfully reproduced 10 of 11 models from Table 11 of the TIME-IMM paper on the EPA-Air dataset. Our results confirm the paper's central claim: text modality improves time series forecasting for most model architectures, with the degree of improvement depending heavily on how well the model's architecture integrates the additional modality.</w:t>
      </w:r>
    </w:p>
    <w:p>
      <w:pPr>
        <w:spacing w:after="160"/>
        <w:jc w:val="both"/>
      </w:pPr>
      <w:r>
        <w:rPr>
          <w:b w:val="0"/>
          <w:i w:val="0"/>
          <w:color w:val="1A1A1A"/>
          <w:sz w:val="22"/>
        </w:rPr>
        <w:t>This project provided practical experience with:</w:t>
      </w:r>
    </w:p>
    <w:p>
      <w:pPr>
        <w:pStyle w:val="ListBullet"/>
        <w:spacing w:after="60"/>
      </w:pPr>
      <w:r>
        <w:rPr>
          <w:color w:val="1A1A1A"/>
          <w:sz w:val="22"/>
        </w:rPr>
        <w:t>Five categories of time series architectures — from linear baselines to neural ODEs</w:t>
      </w:r>
    </w:p>
    <w:p>
      <w:pPr>
        <w:pStyle w:val="ListBullet"/>
        <w:spacing w:after="60"/>
      </w:pPr>
      <w:r>
        <w:rPr>
          <w:color w:val="1A1A1A"/>
          <w:sz w:val="22"/>
        </w:rPr>
        <w:t>Multimodal fusion design (TTF and MMF modules) and their interaction with different backbones</w:t>
      </w:r>
    </w:p>
    <w:p>
      <w:pPr>
        <w:pStyle w:val="ListBullet"/>
        <w:spacing w:after="60"/>
      </w:pPr>
      <w:r>
        <w:rPr>
          <w:color w:val="1A1A1A"/>
          <w:sz w:val="22"/>
        </w:rPr>
        <w:t>Large language model adaptation for non-language tasks (TimeLLM prompt reprogramming)</w:t>
      </w:r>
    </w:p>
    <w:p>
      <w:pPr>
        <w:pStyle w:val="ListBullet"/>
        <w:spacing w:after="60"/>
      </w:pPr>
      <w:r>
        <w:rPr>
          <w:color w:val="1A1A1A"/>
          <w:sz w:val="22"/>
        </w:rPr>
        <w:t>Compute-constrained ML research — making principled trade-offs under resource limits</w:t>
      </w:r>
    </w:p>
    <w:p>
      <w:pPr>
        <w:pStyle w:val="ListBullet"/>
        <w:spacing w:after="60"/>
      </w:pPr>
      <w:r>
        <w:rPr>
          <w:color w:val="1A1A1A"/>
          <w:sz w:val="22"/>
        </w:rPr>
        <w:t>Debugging complex shape errors in multi-component transformer models</w:t>
      </w:r>
    </w:p>
    <w:p>
      <w:pPr>
        <w:pStyle w:val="ListBullet"/>
        <w:spacing w:after="60"/>
      </w:pPr>
      <w:r>
        <w:rPr>
          <w:color w:val="1A1A1A"/>
          <w:sz w:val="22"/>
        </w:rPr>
        <w:t>Environment management across Colab and Jupyter Server for reproducible experiments</w:t>
      </w:r>
    </w:p>
    <w:p>
      <w:pPr>
        <w:spacing w:before="240" w:after="120"/>
      </w:pPr>
      <w:r>
        <w:rPr>
          <w:b/>
          <w:color w:val="0A2540"/>
          <w:sz w:val="23"/>
        </w:rPr>
        <w:t>Future Work</w:t>
      </w:r>
    </w:p>
    <w:p>
      <w:pPr>
        <w:pStyle w:val="ListBullet"/>
        <w:spacing w:after="60"/>
      </w:pPr>
      <w:r>
        <w:rPr>
          <w:color w:val="1A1A1A"/>
          <w:sz w:val="22"/>
        </w:rPr>
        <w:t>Complete NeuralFlow runs with dedicated GPU server access (50 epochs)</w:t>
      </w:r>
    </w:p>
    <w:p>
      <w:pPr>
        <w:pStyle w:val="ListBullet"/>
        <w:spacing w:after="60"/>
      </w:pPr>
      <w:r>
        <w:rPr>
          <w:color w:val="1A1A1A"/>
          <w:sz w:val="22"/>
        </w:rPr>
        <w:t>Train ODE models for full 50 epochs to close the gap with paper results</w:t>
      </w:r>
    </w:p>
    <w:p>
      <w:pPr>
        <w:pStyle w:val="ListBullet"/>
        <w:spacing w:after="60"/>
      </w:pPr>
      <w:r>
        <w:rPr>
          <w:color w:val="1A1A1A"/>
          <w:sz w:val="22"/>
        </w:rPr>
        <w:t>Extend Track C ablation to all 11 models including ODE and graph-based models</w:t>
      </w:r>
    </w:p>
    <w:p>
      <w:pPr>
        <w:pStyle w:val="ListBullet"/>
        <w:spacing w:after="60"/>
      </w:pPr>
      <w:r>
        <w:rPr>
          <w:color w:val="1A1A1A"/>
          <w:sz w:val="22"/>
        </w:rPr>
        <w:t>Explore cross-attention MMF fusion as an alternative for graph-based models</w:t>
      </w:r>
    </w:p>
    <w:p>
      <w:pPr>
        <w:pStyle w:val="ListBullet"/>
        <w:spacing w:after="60"/>
      </w:pPr>
      <w:r>
        <w:rPr>
          <w:color w:val="1A1A1A"/>
          <w:sz w:val="22"/>
        </w:rPr>
        <w:t>Reproduce results on additional IMM-TSF datasets (PhysioNet, MIMIC-III)</w:t>
      </w:r>
    </w:p>
    <w:p>
      <w:pPr>
        <w:spacing w:before="360" w:after="120"/>
      </w:pPr>
      <w:r>
        <w:rPr>
          <w:b/>
          <w:color w:val="0A2540"/>
          <w:sz w:val="32"/>
        </w:rPr>
        <w:t>13. References</w:t>
      </w:r>
    </w:p>
    <w:p>
      <w:pPr>
        <w:pStyle w:val="ListNumber"/>
        <w:spacing w:after="60"/>
      </w:pPr>
      <w:r>
        <w:rPr>
          <w:color w:val="1A1A1A"/>
          <w:sz w:val="22"/>
        </w:rPr>
        <w:t>Jia et al. "TIME-IMM: A Dataset and Benchmark for Irregular Multimodal Multivariate Time Series." NeurIPS 2025.</w:t>
      </w:r>
    </w:p>
    <w:p>
      <w:pPr>
        <w:pStyle w:val="ListNumber"/>
        <w:spacing w:after="60"/>
      </w:pPr>
      <w:r>
        <w:rPr>
          <w:color w:val="1A1A1A"/>
          <w:sz w:val="22"/>
        </w:rPr>
        <w:t>Jin et al. "Time-LLM: Time Series Forecasting by Reprogramming Large Language Models." ICLR 2024.</w:t>
      </w:r>
    </w:p>
    <w:p>
      <w:pPr>
        <w:pStyle w:val="ListNumber"/>
        <w:spacing w:after="60"/>
      </w:pPr>
      <w:r>
        <w:rPr>
          <w:color w:val="1A1A1A"/>
          <w:sz w:val="22"/>
        </w:rPr>
        <w:t>Das et al. "A decoder-only foundation model for time-series forecasting." ICML 2024. (TinyTimeMixer / TTM)</w:t>
      </w:r>
    </w:p>
    <w:p>
      <w:pPr>
        <w:pStyle w:val="ListNumber"/>
        <w:spacing w:after="60"/>
      </w:pPr>
      <w:r>
        <w:rPr>
          <w:color w:val="1A1A1A"/>
          <w:sz w:val="22"/>
        </w:rPr>
        <w:t>Rubanova et al. "Latent ODEs for Irregularly-Sampled Time Series." NeurIPS 2019.</w:t>
      </w:r>
    </w:p>
    <w:p>
      <w:pPr>
        <w:pStyle w:val="ListNumber"/>
        <w:spacing w:after="60"/>
      </w:pPr>
      <w:r>
        <w:rPr>
          <w:color w:val="1A1A1A"/>
          <w:sz w:val="22"/>
        </w:rPr>
        <w:t>Bilos et al. "Neural Flows: Efficient Alternative to Neural ODEs." NeurIPS 2021.</w:t>
      </w:r>
    </w:p>
    <w:p>
      <w:pPr>
        <w:pStyle w:val="ListNumber"/>
        <w:spacing w:after="60"/>
      </w:pPr>
      <w:r>
        <w:rPr>
          <w:color w:val="1A1A1A"/>
          <w:sz w:val="22"/>
        </w:rPr>
        <w:t>Nie et al. "A Time Series is Worth 64 Words: Long-term Forecasting with Transformers." ICLR 2023. (PatchTST)</w:t>
      </w:r>
    </w:p>
    <w:p>
      <w:pPr>
        <w:pStyle w:val="ListNumber"/>
        <w:spacing w:after="60"/>
      </w:pPr>
      <w:r>
        <w:rPr>
          <w:color w:val="1A1A1A"/>
          <w:sz w:val="22"/>
        </w:rPr>
        <w:t>Zhou et al. "Informer: Beyond Efficient Transformer for Long Sequence Time-Series Forecasting." AAAI 2021.</w:t>
      </w:r>
    </w:p>
    <w:p>
      <w:pPr>
        <w:pStyle w:val="ListNumber"/>
        <w:spacing w:after="60"/>
      </w:pPr>
      <w:r>
        <w:rPr>
          <w:color w:val="1A1A1A"/>
          <w:sz w:val="22"/>
        </w:rPr>
        <w:t>Zeng et al. "Are Transformers Effective for Time Series Forecasting?" AAAI 2023. (DLinear)</w:t>
      </w:r>
    </w:p>
    <w:p>
      <w:pPr>
        <w:pStyle w:val="ListNumber"/>
        <w:spacing w:after="60"/>
      </w:pPr>
      <w:r>
        <w:rPr>
          <w:color w:val="1A1A1A"/>
          <w:sz w:val="22"/>
        </w:rPr>
        <w:t>Wu et al. "TimesNet: Temporal 2D-Variation Modeling for General Time Series Analysis." ICLR 2023.</w:t>
      </w:r>
    </w:p>
    <w:p>
      <w:pPr>
        <w:pStyle w:val="ListNumber"/>
        <w:spacing w:after="60"/>
      </w:pPr>
      <w:r>
        <w:rPr>
          <w:color w:val="1A1A1A"/>
          <w:sz w:val="22"/>
        </w:rPr>
        <w:t>Wang et al. "TimeMixer: Decomposable Multiscale Mixing for Time Series Forecasting." ICLR 2024.</w:t>
      </w:r>
    </w:p>
    <w:p/>
    <w:p>
      <w:pPr>
        <w:jc w:val="center"/>
      </w:pPr>
      <w:r>
        <w:rPr>
          <w:i/>
          <w:color w:val="888888"/>
          <w:sz w:val="18"/>
        </w:rPr>
        <w:t>Data Mining II — Spring 2026  |  Kennesaw State University  |  Advisor: Dr. Bin Luo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