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Etiske dilemmaer — gruppeopgave</w:t>
      </w:r>
    </w:p>
    <w:p>
      <w:r>
        <w:rPr>
          <w:i/>
        </w:rPr>
        <w:t>Kristendomskundskab · Livsfilosofi og etik · 8. klasse · gruppearbejde (3–4 elever)</w:t>
      </w:r>
    </w:p>
    <w:p>
      <w:pPr>
        <w:shd w:val="clear" w:fill="EEF1F6"/>
        <w:ind w:left="259" w:right="144"/>
      </w:pPr>
      <w:r>
        <w:rPr>
          <w:b/>
        </w:rPr>
        <w:t>Det her skal I lære.</w:t>
      </w:r>
      <w:r>
        <w:t xml:space="preserve"> I etik er der sjældent ét facit. Målet er, at I kan se en svær sag fra flere sider og begrunde jeres holdning fagligt, ikke bare sige "det synes jeg". I lærer fire filosofiske måder at tænke etik på, og I ser, hvordan religionerne svarer på spørgsmålet om, hvordan man bør handle. Bagefter bruger I det hele på seks klassiske dilemmaer. I kan arbejde selvstændigt i gruppen. Alt, hvad I skal bruge, står på arket.</w:t>
      </w:r>
    </w:p>
    <w:p>
      <w:pPr>
        <w:pBdr>
          <w:bottom w:val="single" w:sz="6" w:space="1" w:color="BBBBBB"/>
        </w:pBdr>
      </w:pPr>
    </w:p>
    <w:p>
      <w:pPr>
        <w:pStyle w:val="Heading2"/>
      </w:pPr>
      <w:r>
        <w:t>Fire måder at tænke etik på</w:t>
      </w:r>
    </w:p>
    <w:p>
      <w:r>
        <w:t>Når man skal afgøre, hvad der er rigtigt at gøre, kan man tænke på fire forskellige måder. Læs dem grundigt, før I går i gang. I skal bruge dem hele vejen igennem.</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drawing>
                <wp:inline xmlns:a="http://schemas.openxmlformats.org/drawingml/2006/main" xmlns:pic="http://schemas.openxmlformats.org/drawingml/2006/picture">
                  <wp:extent cx="1325880" cy="172974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1325880" cy="1729740"/>
                          </a:xfrm>
                          <a:prstGeom prst="rect"/>
                        </pic:spPr>
                      </pic:pic>
                    </a:graphicData>
                  </a:graphic>
                </wp:inline>
              </w:drawing>
            </w:r>
          </w:p>
          <w:p>
            <w:pPr>
              <w:jc w:val="center"/>
            </w:pPr>
            <w:r>
              <w:rPr>
                <w:i/>
                <w:color w:val="606060"/>
                <w:sz w:val="16"/>
              </w:rPr>
              <w:t>Immanuel Kant (1724–1804)</w:t>
            </w:r>
          </w:p>
        </w:tc>
        <w:tc>
          <w:tcPr>
            <w:tcW w:type="dxa" w:w="2160"/>
          </w:tcPr>
          <w:p>
            <w:pPr>
              <w:jc w:val="center"/>
            </w:pPr>
            <w:r>
              <w:drawing>
                <wp:inline xmlns:a="http://schemas.openxmlformats.org/drawingml/2006/main" xmlns:pic="http://schemas.openxmlformats.org/drawingml/2006/picture">
                  <wp:extent cx="1325880" cy="177165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1325880" cy="1771650"/>
                          </a:xfrm>
                          <a:prstGeom prst="rect"/>
                        </pic:spPr>
                      </pic:pic>
                    </a:graphicData>
                  </a:graphic>
                </wp:inline>
              </w:drawing>
            </w:r>
          </w:p>
          <w:p>
            <w:pPr>
              <w:jc w:val="center"/>
            </w:pPr>
            <w:r>
              <w:rPr>
                <w:i/>
                <w:color w:val="606060"/>
                <w:sz w:val="16"/>
              </w:rPr>
              <w:t>Aristoteles (384–322 f.v.t.)</w:t>
            </w:r>
          </w:p>
        </w:tc>
        <w:tc>
          <w:tcPr>
            <w:tcW w:type="dxa" w:w="2160"/>
          </w:tcPr>
          <w:p>
            <w:pPr>
              <w:jc w:val="center"/>
            </w:pPr>
            <w:r>
              <w:drawing>
                <wp:inline xmlns:a="http://schemas.openxmlformats.org/drawingml/2006/main" xmlns:pic="http://schemas.openxmlformats.org/drawingml/2006/picture">
                  <wp:extent cx="1325880" cy="166497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325880" cy="1664970"/>
                          </a:xfrm>
                          <a:prstGeom prst="rect"/>
                        </pic:spPr>
                      </pic:pic>
                    </a:graphicData>
                  </a:graphic>
                </wp:inline>
              </w:drawing>
            </w:r>
          </w:p>
          <w:p>
            <w:pPr>
              <w:jc w:val="center"/>
            </w:pPr>
            <w:r>
              <w:rPr>
                <w:i/>
                <w:color w:val="606060"/>
                <w:sz w:val="16"/>
              </w:rPr>
              <w:t>John Stuart Mill (1806–1873)</w:t>
            </w:r>
          </w:p>
        </w:tc>
        <w:tc>
          <w:tcPr>
            <w:tcW w:type="dxa" w:w="2160"/>
          </w:tcPr>
          <w:p>
            <w:pPr>
              <w:jc w:val="center"/>
            </w:pPr>
            <w:r>
              <w:drawing>
                <wp:inline xmlns:a="http://schemas.openxmlformats.org/drawingml/2006/main" xmlns:pic="http://schemas.openxmlformats.org/drawingml/2006/picture">
                  <wp:extent cx="1325880" cy="1515291"/>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325880" cy="1515291"/>
                          </a:xfrm>
                          <a:prstGeom prst="rect"/>
                        </pic:spPr>
                      </pic:pic>
                    </a:graphicData>
                  </a:graphic>
                </wp:inline>
              </w:drawing>
            </w:r>
          </w:p>
          <w:p>
            <w:pPr>
              <w:jc w:val="center"/>
            </w:pPr>
            <w:r>
              <w:rPr>
                <w:i/>
                <w:color w:val="606060"/>
                <w:sz w:val="16"/>
              </w:rPr>
              <w:t>K.E. Løgstrup (1905–1981)</w:t>
            </w:r>
          </w:p>
        </w:tc>
      </w:tr>
    </w:tbl>
    <w:p>
      <w:r>
        <w:rPr>
          <w:i/>
        </w:rPr>
        <w:t>Billedkreditering: Kant, Aristoteles og Mill er public domain. Foto af K.E. Løgstrup: Friedrich Magnussen / Stadtarchiv Kiel, CC BY-SA 3.0 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Etik</w:t>
            </w:r>
          </w:p>
        </w:tc>
        <w:tc>
          <w:tcPr>
            <w:tcW w:type="dxa" w:w="2880"/>
          </w:tcPr>
          <w:p>
            <w:r>
              <w:rPr>
                <w:b/>
              </w:rPr>
            </w:r>
            <w:r>
              <w:rPr>
                <w:b/>
              </w:rPr>
              <w:t>Det vigtigste spørgsmål</w:t>
            </w:r>
          </w:p>
        </w:tc>
        <w:tc>
          <w:tcPr>
            <w:tcW w:type="dxa" w:w="2880"/>
          </w:tcPr>
          <w:p>
            <w:r>
              <w:rPr>
                <w:b/>
              </w:rPr>
            </w:r>
            <w:r>
              <w:rPr>
                <w:b/>
              </w:rPr>
              <w:t>Kort sagt</w:t>
            </w:r>
          </w:p>
        </w:tc>
      </w:tr>
      <w:tr>
        <w:tc>
          <w:tcPr>
            <w:tcW w:type="dxa" w:w="2880"/>
          </w:tcPr>
          <w:p>
            <w:r/>
            <w:r>
              <w:rPr>
                <w:b/>
              </w:rPr>
              <w:t>Pligtetik</w:t>
            </w:r>
            <w:r>
              <w:t xml:space="preserve"> (Immanuel Kant)</w:t>
            </w:r>
          </w:p>
        </w:tc>
        <w:tc>
          <w:tcPr>
            <w:tcW w:type="dxa" w:w="2880"/>
          </w:tcPr>
          <w:p>
            <w:r/>
            <w:r>
              <w:t>"Hvad er min pligt? Hvilke regler gælder altid?"</w:t>
            </w:r>
          </w:p>
        </w:tc>
        <w:tc>
          <w:tcPr>
            <w:tcW w:type="dxa" w:w="2880"/>
          </w:tcPr>
          <w:p>
            <w:r/>
            <w:r>
              <w:t>Nogle handlinger er rigtige eller forkerte i sig selv, uanset hvad der kommer ud af dem. Kant mente, at man kun bør følge en regel, man kunne ønske blev en lov for alle. Og at man aldrig må bruge et andet menneske kun som et middel til at nå sit eget mål.</w:t>
            </w:r>
          </w:p>
        </w:tc>
      </w:tr>
      <w:tr>
        <w:tc>
          <w:tcPr>
            <w:tcW w:type="dxa" w:w="2880"/>
          </w:tcPr>
          <w:p>
            <w:r/>
            <w:r>
              <w:rPr>
                <w:b/>
              </w:rPr>
              <w:t>Konsekvensetik</w:t>
            </w:r>
            <w:r>
              <w:t xml:space="preserve"> (nytteetik, Bentham og Mill)</w:t>
            </w:r>
          </w:p>
        </w:tc>
        <w:tc>
          <w:tcPr>
            <w:tcW w:type="dxa" w:w="2880"/>
          </w:tcPr>
          <w:p>
            <w:r/>
            <w:r>
              <w:t>"Hvad giver det bedste resultat for flest?"</w:t>
            </w:r>
          </w:p>
        </w:tc>
        <w:tc>
          <w:tcPr>
            <w:tcW w:type="dxa" w:w="2880"/>
          </w:tcPr>
          <w:p>
            <w:r/>
            <w:r>
              <w:t>Her er det følgerne, der tæller. Den rigtige handling er den, der skaber mest mulig lykke og mindst mulig lidelse for flest mulige. Man vejer så at sige godt op mod skidt og vælger det, der giver det bedste samlede regnskab.</w:t>
            </w:r>
          </w:p>
        </w:tc>
      </w:tr>
      <w:tr>
        <w:tc>
          <w:tcPr>
            <w:tcW w:type="dxa" w:w="2880"/>
          </w:tcPr>
          <w:p>
            <w:r/>
            <w:r>
              <w:rPr>
                <w:b/>
              </w:rPr>
              <w:t>Dydsetik</w:t>
            </w:r>
            <w:r>
              <w:t xml:space="preserve"> (Aristoteles)</w:t>
            </w:r>
          </w:p>
        </w:tc>
        <w:tc>
          <w:tcPr>
            <w:tcW w:type="dxa" w:w="2880"/>
          </w:tcPr>
          <w:p>
            <w:r/>
            <w:r>
              <w:t>"Hvilken slags menneske vil jeg være?"</w:t>
            </w:r>
          </w:p>
        </w:tc>
        <w:tc>
          <w:tcPr>
            <w:tcW w:type="dxa" w:w="2880"/>
          </w:tcPr>
          <w:p>
            <w:r/>
            <w:r>
              <w:t>Det handler mere om karakter end om den enkelte handling. Hvad ville et klogt, modigt, ærligt og retfærdigt menneske gøre? Aristoteles talte om den gyldne middelvej: mod ligger fx midt mellem fejhed og dumdristighed.</w:t>
            </w:r>
          </w:p>
        </w:tc>
      </w:tr>
      <w:tr>
        <w:tc>
          <w:tcPr>
            <w:tcW w:type="dxa" w:w="2880"/>
          </w:tcPr>
          <w:p>
            <w:r/>
            <w:r>
              <w:rPr>
                <w:b/>
              </w:rPr>
              <w:t>Nærhedsetik</w:t>
            </w:r>
            <w:r>
              <w:t xml:space="preserve"> (K.E. Løgstrup)</w:t>
            </w:r>
          </w:p>
        </w:tc>
        <w:tc>
          <w:tcPr>
            <w:tcW w:type="dxa" w:w="2880"/>
          </w:tcPr>
          <w:p>
            <w:r/>
            <w:r>
              <w:t>"Hvilket ansvar har jeg for den, der står foran mig?"</w:t>
            </w:r>
          </w:p>
        </w:tc>
        <w:tc>
          <w:tcPr>
            <w:tcW w:type="dxa" w:w="2880"/>
          </w:tcPr>
          <w:p>
            <w:r/>
            <w:r>
              <w:t xml:space="preserve">Den danske teolog og filosof K.E. Løgstrup skrev i bogen </w:t>
            </w:r>
            <w:r>
              <w:rPr>
                <w:i/>
              </w:rPr>
              <w:t>Den etiske fordring</w:t>
            </w:r>
            <w:r>
              <w:t xml:space="preserve"> (1956): "Den enkelte har aldrig med et andet menneske at gøre uden at holde noget af dets liv i sin hånd." Vi har altså et ansvar for den, der står foran os, her og nu. Det kommer før, vi begynder at regne på følger eller slå regler op.</w:t>
            </w:r>
          </w:p>
        </w:tc>
      </w:tr>
    </w:tbl>
    <w:p>
      <w:pPr>
        <w:shd w:val="clear" w:fill="EEF1F6"/>
        <w:ind w:left="259" w:right="144"/>
      </w:pPr>
      <w:r>
        <w:rPr>
          <w:b/>
        </w:rPr>
        <w:t>Samme situation, fire vinkler. Eksempel: en ven beder dig lyve.</w:t>
      </w:r>
      <w:r>
        <w:t xml:space="preserve"> Pligtetikeren siger: nej, man må ikke lyve. Konsekvensetikeren spørger: hvad sker der, hvis jeg gør det, og hvad sker der, hvis jeg lader være? Dydsetikeren spørger: er jeg en loyal og ærlig ven, hvis jeg gør det? Nærhedsetikeren spørger: hvad har min ven brug for af mig lige nu?</w:t>
      </w:r>
    </w:p>
    <w:p>
      <w:pPr>
        <w:pBdr>
          <w:bottom w:val="single" w:sz="6" w:space="1" w:color="BBBBBB"/>
        </w:pBdr>
      </w:pPr>
    </w:p>
    <w:p>
      <w:pPr>
        <w:pStyle w:val="Heading2"/>
      </w:pPr>
      <w:r>
        <w:t>Etik og religion</w:t>
      </w:r>
    </w:p>
    <w:p>
      <w:r>
        <w:t>Etik er ikke kun noget, filosofferne har fundet på. Religionerne har i tusinder af år givet bud på, hvordan man bør leve. Flere tanker går igen på tværs af religionerne, og I kan bruge dem som en femte vinkel på dilemmaerne.</w:t>
      </w:r>
    </w:p>
    <w:p>
      <w:pPr>
        <w:pStyle w:val="ListBullet"/>
      </w:pPr>
      <w:r>
        <w:rPr>
          <w:b/>
        </w:rPr>
        <w:t>Den gyldne regel:</w:t>
      </w:r>
      <w:r>
        <w:t xml:space="preserve"> "Gør mod andre, som du ønsker, at de skal gøre mod dig." Den findes i næsten alle religioner og livssyn, både i kristendommen, jødedommen, islam og buddhismen.</w:t>
      </w:r>
    </w:p>
    <w:p>
      <w:pPr>
        <w:pStyle w:val="ListBullet"/>
      </w:pPr>
      <w:r>
        <w:rPr>
          <w:b/>
        </w:rPr>
        <w:t>Det dobbelte kærlighedsbud</w:t>
      </w:r>
      <w:r>
        <w:t xml:space="preserve"> (Matt. 22): Du skal elske Gud, og du skal "elske din næste som dig selv". I kristendommen bliver næstekærligheden selve kernen i at handle rigtigt.</w:t>
      </w:r>
    </w:p>
    <w:p>
      <w:pPr>
        <w:pStyle w:val="ListBullet"/>
      </w:pPr>
      <w:r>
        <w:rPr>
          <w:b/>
        </w:rPr>
        <w:t>Den barmhjertige samaritaner</w:t>
      </w:r>
      <w:r>
        <w:t xml:space="preserve"> (Luk. 10): En fremmed hjælper en overfaldet mand, som to andre lige er gået forbi. Jesu pointe er, at din næste ikke kun er din egen familie eller dit eget folk. Det er ethvert menneske, der har brug for dig. Det, du gør, betyder mere end din status og dine pæne ord.</w:t>
      </w:r>
    </w:p>
    <w:p>
      <w:pPr>
        <w:pStyle w:val="ListBullet"/>
      </w:pPr>
      <w:r>
        <w:rPr>
          <w:b/>
        </w:rPr>
        <w:t>Livets uendelige værdi (jødedom og islam):</w:t>
      </w:r>
      <w:r>
        <w:t xml:space="preserve"> "Den, der redder ét menneskeliv, har reddet en hel verden" (jødisk Mishna; samme tanke findes i Koranen 5,32). Det er et stærkt </w:t>
      </w:r>
      <w:r>
        <w:rPr>
          <w:b/>
        </w:rPr>
        <w:t>modspil til regnestykket</w:t>
      </w:r>
      <w:r>
        <w:t xml:space="preserve"> i sporvogns- og Heinz-dilemmaet: kan man overhovedet veje liv op mod hinanden, hvis hvert liv er uendeligt?</w:t>
      </w:r>
    </w:p>
    <w:p>
      <w:pPr>
        <w:pStyle w:val="ListBullet"/>
      </w:pPr>
      <w:r>
        <w:rPr>
          <w:b/>
        </w:rPr>
        <w:t>Den gyldne regel i islam:</w:t>
      </w:r>
      <w:r>
        <w:t xml:space="preserve"> "Ingen af jer tror helt, før han ønsker for sin næste, hvad han ønsker for sig selv" (efter en hadith).</w:t>
      </w:r>
    </w:p>
    <w:p>
      <w:pPr>
        <w:pStyle w:val="ListBullet"/>
      </w:pPr>
      <w:r>
        <w:rPr>
          <w:b/>
        </w:rPr>
        <w:t>Medfølelse (buddhisme):</w:t>
      </w:r>
      <w:r>
        <w:t xml:space="preserve"> </w:t>
      </w:r>
      <w:r>
        <w:rPr>
          <w:i/>
        </w:rPr>
        <w:t>karuna</w:t>
      </w:r>
      <w:r>
        <w:t xml:space="preserve"> (medfølelse) og </w:t>
      </w:r>
      <w:r>
        <w:rPr>
          <w:i/>
        </w:rPr>
        <w:t>ahimsa</w:t>
      </w:r>
      <w:r>
        <w:t xml:space="preserve"> (ikke at skade) ligger tæt på både dydsetik og pligtetikkens "brug aldrig et menneske kun som middel".</w:t>
      </w:r>
    </w:p>
    <w:p>
      <w:r>
        <w:t>Læg mærke til, at Løgstrups nærhedsetik bygger bro mellem filosofi og religion. Tanken om, at vi holder noget af den andens liv i vores hånd, ligger tæt på buddet om at elske sin næste.</w:t>
      </w:r>
    </w:p>
    <w:p>
      <w:pPr>
        <w:pBdr>
          <w:bottom w:val="single" w:sz="6" w:space="1" w:color="BBBBBB"/>
        </w:pBdr>
      </w:pPr>
    </w:p>
    <w:p>
      <w:pPr>
        <w:pStyle w:val="Heading2"/>
      </w:pPr>
      <w:r>
        <w:t>Sådan arbejder I (gruppe på 3–4)</w:t>
      </w:r>
    </w:p>
    <w:p>
      <w:pPr>
        <w:pStyle w:val="ListNumber"/>
      </w:pPr>
      <w:r>
        <w:rPr>
          <w:b/>
        </w:rPr>
        <w:t>Fordel roller:</w:t>
      </w:r>
      <w:r>
        <w:t xml:space="preserve"> en </w:t>
      </w:r>
      <w:r>
        <w:rPr>
          <w:b/>
        </w:rPr>
        <w:t>ordstyrer</w:t>
      </w:r>
      <w:r>
        <w:t xml:space="preserve">, der sørger for, at alle kommer til orde, en </w:t>
      </w:r>
      <w:r>
        <w:rPr>
          <w:b/>
        </w:rPr>
        <w:t>referent</w:t>
      </w:r>
      <w:r>
        <w:t xml:space="preserve">, der skriver gruppens pointer ned, og en </w:t>
      </w:r>
      <w:r>
        <w:rPr>
          <w:b/>
        </w:rPr>
        <w:t>fremlægger</w:t>
      </w:r>
      <w:r>
        <w:t>, der fortæller klassen om ét dilemma bagefter.</w:t>
      </w:r>
    </w:p>
    <w:p>
      <w:pPr>
        <w:pStyle w:val="ListNumber"/>
      </w:pPr>
      <w:r>
        <w:rPr>
          <w:b/>
        </w:rPr>
        <w:t>Tag ét dilemma ad gangen.</w:t>
      </w:r>
      <w:r>
        <w:t xml:space="preserve"> Læs det højt.</w:t>
      </w:r>
    </w:p>
    <w:p>
      <w:pPr>
        <w:pStyle w:val="ListNumber"/>
      </w:pPr>
      <w:r>
        <w:rPr>
          <w:b/>
        </w:rPr>
        <w:t>Gå rundt om bordet.</w:t>
      </w:r>
      <w:r>
        <w:t xml:space="preserve"> Hver person prøver at svare ud fra én af vinklerne. Skift, så I når både de fire etikker og den religiøse vinkel.</w:t>
      </w:r>
    </w:p>
    <w:p>
      <w:pPr>
        <w:pStyle w:val="ListNumber"/>
      </w:pPr>
      <w:r>
        <w:rPr>
          <w:b/>
        </w:rPr>
        <w:t>I behøver ikke blive enige.</w:t>
      </w:r>
      <w:r>
        <w:t xml:space="preserve"> Men I skal kunne begrunde jeres svar.</w:t>
      </w:r>
    </w:p>
    <w:p>
      <w:pPr>
        <w:pStyle w:val="ListNumber"/>
      </w:pPr>
      <w:r>
        <w:t>Skriv kort ned: Hvad ville de forskellige vinkler sige? Hvad mener I selv?</w:t>
      </w:r>
    </w:p>
    <w:p>
      <w:pPr>
        <w:pBdr>
          <w:bottom w:val="single" w:sz="6" w:space="1" w:color="BBBBBB"/>
        </w:pBdr>
      </w:pPr>
    </w:p>
    <w:p>
      <w:pPr>
        <w:pStyle w:val="Heading2"/>
      </w:pPr>
      <w:r>
        <w:t>Dilemmaerne</w:t>
      </w:r>
    </w:p>
    <w:p>
      <w:pPr>
        <w:shd w:val="clear" w:fill="EEF1F6"/>
        <w:ind w:left="259" w:right="144"/>
      </w:pPr>
      <w:r>
        <w:rPr>
          <w:b/>
        </w:rPr>
        <w:t>✅ Sådan ser et godt fagligt svar ud.</w:t>
      </w:r>
      <w:r>
        <w:t xml:space="preserve"> Ikke: </w:t>
      </w:r>
      <w:r>
        <w:rPr>
          <w:i/>
        </w:rPr>
        <w:t>"Jeg ville trække i håndtaget."</w:t>
      </w:r>
      <w:r>
        <w:t xml:space="preserve"> Men: </w:t>
      </w:r>
      <w:r>
        <w:rPr>
          <w:i/>
        </w:rPr>
        <w:t>"Konsekvensetisk bør man trække (5 liv mod 1), men pligtetisk er det problematisk aktivt at vælge at dræbe én. Jeg vægter X, fordi …"</w:t>
      </w:r>
      <w:r>
        <w:t xml:space="preserve">. Altså: </w:t>
      </w:r>
      <w:r>
        <w:rPr>
          <w:b/>
        </w:rPr>
        <w:t>navngiv vinklen, brug et begreb, og giv en indvending.</w:t>
      </w:r>
      <w:r>
        <w:t xml:space="preserve"> Brug det som tjek på alle jeres svar herunder.</w:t>
      </w:r>
    </w:p>
    <w:p>
      <w:pPr>
        <w:pStyle w:val="Heading3"/>
      </w:pPr>
      <w:r>
        <w:t>1. Sporvognen</w:t>
      </w:r>
    </w:p>
    <w:p>
      <w:r>
        <w:t xml:space="preserve">En løbsk sporvogn buldrer mod </w:t>
      </w:r>
      <w:r>
        <w:rPr>
          <w:b/>
        </w:rPr>
        <w:t>fem</w:t>
      </w:r>
      <w:r>
        <w:t xml:space="preserve"> mennesker, der ikke kan nå væk. Du står ved et håndtag. Trækker du i det, skifter sporvognen spor, men så dræber den </w:t>
      </w:r>
      <w:r>
        <w:rPr>
          <w:b/>
        </w:rPr>
        <w:t>ét</w:t>
      </w:r>
      <w:r>
        <w:t xml:space="preserve"> menneske, der står på det andet spor. Du kan ikke gøre andet.</w:t>
      </w:r>
    </w:p>
    <w:p>
      <w:pPr>
        <w:pStyle w:val="ListBullet"/>
      </w:pPr>
      <w:r>
        <w:t>Trækker du i håndtaget? Hvorfor, eller hvorfor ikke?</w:t>
      </w:r>
    </w:p>
    <w:p>
      <w:pPr>
        <w:pStyle w:val="ListBullet"/>
      </w:pPr>
      <w:r>
        <w:t>Hvad ville konsekvensetikeren sige (5 mod 1)? Hvad ville pligtetikeren sige (må man aktivt vælge at dræbe én)?</w:t>
      </w:r>
    </w:p>
    <w:p>
      <w:pPr>
        <w:pStyle w:val="ListBullet"/>
      </w:pPr>
      <w:r>
        <w:rPr>
          <w:b/>
        </w:rPr>
        <w:t>Sværere variant:</w:t>
      </w:r>
      <w:r>
        <w:t xml:space="preserve"> I stedet for et håndtag kan du skubbe en fremmed ud foran sporvognen og stoppe den. Fem reddes, én dør. Føles det anderledes? Hvorfor?</w:t>
      </w:r>
    </w:p>
    <w:p>
      <w:pPr>
        <w:shd w:val="clear" w:fill="EEF1F6"/>
        <w:ind w:left="259" w:right="144"/>
      </w:pPr>
      <w:r>
        <w:rPr>
          <w:i/>
        </w:rPr>
        <w:t>Sporvognsproblemet blev opfundet af filosoffen Philippa Foot i 1967. Det bruges stadig til at vise forskellen på pligt- og konsekvensetik.</w:t>
      </w:r>
    </w:p>
    <w:p>
      <w:pPr>
        <w:pStyle w:val="Heading3"/>
      </w:pPr>
      <w:r>
        <w:t>2. Den dyre medicin (Heinz)</w:t>
      </w:r>
    </w:p>
    <w:p>
      <w:r>
        <w:t>Heinz' kone er meget syg og dør uden en bestemt medicin. Apotekeren har medicinen, men forlanger ti gange mere, end den koster at lave, og meget mere, end Heinz kan skaffe. Heinz tigger om at få den billigere eller betale senere. Apotekeren siger nej.</w:t>
      </w:r>
    </w:p>
    <w:p>
      <w:pPr>
        <w:pStyle w:val="ListBullet"/>
      </w:pPr>
      <w:r>
        <w:t>Skal Heinz stjæle medicinen for at redde sin kone?</w:t>
      </w:r>
    </w:p>
    <w:p>
      <w:pPr>
        <w:pStyle w:val="ListBullet"/>
      </w:pPr>
      <w:r>
        <w:t>Hvad ville nærhedsetikeren sige om hans ansvar for konen? Hvad ville pligtetikeren sige om, at man ikke må stjæle?</w:t>
      </w:r>
    </w:p>
    <w:p>
      <w:pPr>
        <w:pStyle w:val="ListBullet"/>
      </w:pPr>
      <w:r>
        <w:rPr>
          <w:b/>
        </w:rPr>
        <w:t>Religiøs vinkel:</w:t>
      </w:r>
      <w:r>
        <w:t xml:space="preserve"> Hvad ville næstekærligheden sige? Vejer et menneskeliv tungere end ejendom?</w:t>
      </w:r>
    </w:p>
    <w:p>
      <w:pPr>
        <w:pStyle w:val="Heading3"/>
      </w:pPr>
      <w:r>
        <w:t>3. Morderen ved døren</w:t>
      </w:r>
    </w:p>
    <w:p>
      <w:r>
        <w:t>Din ven gemmer sig hjemme hos dig, fordi en person vil gøre vennen fortræd. Det banker på. Det er netop den person, der leder efter din ven, og han spørger dig lige ud: "Er din ven herinde?"</w:t>
      </w:r>
    </w:p>
    <w:p>
      <w:pPr>
        <w:pStyle w:val="ListBullet"/>
      </w:pPr>
      <w:r>
        <w:t>Må du lyve for at redde din ven?</w:t>
      </w:r>
    </w:p>
    <w:p>
      <w:pPr>
        <w:pStyle w:val="ListBullet"/>
      </w:pPr>
      <w:r>
        <w:t>Pligtetikeren Kant mente faktisk, at man aldrig må lyve. Er I enige? Hvad ville konsekvensetikeren og nærhedsetikeren sige?</w:t>
      </w:r>
    </w:p>
    <w:p>
      <w:pPr>
        <w:pStyle w:val="ListBullet"/>
      </w:pPr>
      <w:r>
        <w:rPr>
          <w:b/>
        </w:rPr>
        <w:t>Religiøs vinkel:</w:t>
      </w:r>
      <w:r>
        <w:t xml:space="preserve"> Kan barmhjertighed, altså at beskytte den svage, nogle gange være vigtigere end at følge en regel?</w:t>
      </w:r>
    </w:p>
    <w:p>
      <w:pPr>
        <w:pStyle w:val="Heading3"/>
      </w:pPr>
      <w:r>
        <w:t>4. Tegnebogen</w:t>
      </w:r>
    </w:p>
    <w:p>
      <w:r>
        <w:t>Du finder en tegnebog på gaden med 2.000 kr. og et kørekort, så du kan se, hvem den tilhører. Ingen så dig finde den.</w:t>
      </w:r>
    </w:p>
    <w:p>
      <w:pPr>
        <w:pStyle w:val="ListBullet"/>
      </w:pPr>
      <w:r>
        <w:t>Beholder du pengene, eller afleverer du tegnebogen tilbage?</w:t>
      </w:r>
    </w:p>
    <w:p>
      <w:pPr>
        <w:pStyle w:val="ListBullet"/>
      </w:pPr>
      <w:r>
        <w:t>Ændrer det noget, at ingen ser dig? Hvad ville dydsetikeren sige om, hvilken slags menneske man er, når ingen kigger?</w:t>
      </w:r>
    </w:p>
    <w:p>
      <w:pPr>
        <w:pStyle w:val="ListBullet"/>
      </w:pPr>
      <w:r>
        <w:rPr>
          <w:b/>
        </w:rPr>
        <w:t>Religiøs vinkel:</w:t>
      </w:r>
      <w:r>
        <w:t xml:space="preserve"> "Gør mod andre …" Hvad ville den gyldne regel sige?</w:t>
      </w:r>
    </w:p>
    <w:p>
      <w:pPr>
        <w:pStyle w:val="Heading3"/>
      </w:pPr>
      <w:r>
        <w:t>5. Den loyale ven</w:t>
      </w:r>
    </w:p>
    <w:p>
      <w:r>
        <w:t>Din bedste ven har gjort noget dumt og beder dig lyve for læreren og sige, at I var sammen, da det skete (et alibi). Hvis du siger nej, bliver vennen sur og føler sig svigtet.</w:t>
      </w:r>
    </w:p>
    <w:p>
      <w:pPr>
        <w:pStyle w:val="ListBullet"/>
      </w:pPr>
      <w:r>
        <w:t>Hjælper du din ven med løgnen?</w:t>
      </w:r>
    </w:p>
    <w:p>
      <w:pPr>
        <w:pStyle w:val="ListBullet"/>
      </w:pPr>
      <w:r>
        <w:t>Hvornår vejer loyalitet tungere end ærlighed, og hvornår er det omvendt? Brug mindst to vinkler.</w:t>
      </w:r>
    </w:p>
    <w:p>
      <w:pPr>
        <w:pStyle w:val="Heading3"/>
      </w:pPr>
      <w:r>
        <w:t xml:space="preserve">6. Det svære valg på arbejdet </w:t>
      </w:r>
      <w:r>
        <w:rPr>
          <w:i/>
        </w:rPr>
        <w:t>(udfordring)</w:t>
      </w:r>
    </w:p>
    <w:p>
      <w:r>
        <w:t>En leder opdager, at virksomheden snyder med noget, der skader mange mennesker. Men hun bliver truet med at miste sit job, hvis hun siger det til nogen, og hun har selv en familie at forsørge.</w:t>
      </w:r>
    </w:p>
    <w:p>
      <w:pPr>
        <w:pStyle w:val="ListBullet"/>
      </w:pPr>
      <w:r>
        <w:t>Skal hun sige fra og blive "whistleblower", eller skal hun tie?</w:t>
      </w:r>
    </w:p>
    <w:p>
      <w:pPr>
        <w:pStyle w:val="ListBullet"/>
      </w:pPr>
      <w:r>
        <w:t>Sæt vinklerne op mod hinanden. Hvilken vejer tungest for jer?</w:t>
      </w:r>
    </w:p>
    <w:p>
      <w:pPr>
        <w:pBdr>
          <w:bottom w:val="single" w:sz="6" w:space="1" w:color="BBBBBB"/>
        </w:pBdr>
      </w:pPr>
    </w:p>
    <w:p>
      <w:pPr>
        <w:pStyle w:val="Heading3"/>
      </w:pPr>
      <w:r>
        <w:t>7. Troen og den vigtige dag</w:t>
      </w:r>
    </w:p>
    <w:p>
      <w:r>
        <w:t>En klassekammerat faster af religiøse grunde (det kan være ramadan, yom kippur eller en kristen faste, og det findes i mange religioner) og spiser eller drikker ikke i dagtimerne. Midt i fasten er der en vigtig idrætsdag eller prøve, hvor han bliver træt og svag. Læreren siger, at han da bare kan lade være med at faste den ene dag. Men det betyder meget for ham.</w:t>
      </w:r>
    </w:p>
    <w:p>
      <w:pPr>
        <w:pStyle w:val="ListBullet"/>
      </w:pPr>
      <w:r>
        <w:t>Skal man holde fast i en religiøs forpligtelse, også når den koster?</w:t>
      </w:r>
    </w:p>
    <w:p>
      <w:pPr>
        <w:pStyle w:val="ListBullet"/>
      </w:pPr>
      <w:r>
        <w:t>Hvornår vejer en religiøs pligt tungere end et praktisk hensyn? Og hvem bestemmer det?</w:t>
      </w:r>
    </w:p>
    <w:p>
      <w:pPr>
        <w:pStyle w:val="ListBullet"/>
      </w:pPr>
      <w:r>
        <w:t>Hvad ville de fire etikker sige? Og har vennen brug for, at I presser ham eller respekterer hans valg?</w:t>
      </w:r>
    </w:p>
    <w:p>
      <w:r>
        <w:rPr>
          <w:b/>
        </w:rPr>
        <w:t>Dilemma 7b (udvidelse):</w:t>
      </w:r>
      <w:r>
        <w:t xml:space="preserve"> En elev vil bede eller faste i skoletiden, men det kolliderer med en obligatorisk aktivitet. Hvor går grænsen mellem den enkeltes </w:t>
      </w:r>
      <w:r>
        <w:rPr>
          <w:b/>
        </w:rPr>
        <w:t>religionsfrihed</w:t>
      </w:r>
      <w:r>
        <w:t xml:space="preserve"> og </w:t>
      </w:r>
      <w:r>
        <w:rPr>
          <w:b/>
        </w:rPr>
        <w:t>fællesskabets krav</w:t>
      </w:r>
      <w:r>
        <w:t>? Brug pligtetik og nærhedsetik. Og husk, at religionsfrihed er en rettighed, ikke kun en privat smag.</w:t>
      </w:r>
    </w:p>
    <w:p>
      <w:pPr>
        <w:pStyle w:val="Heading2"/>
      </w:pPr>
      <w:r>
        <w:t>Afrunding (fælles i klassen)</w:t>
      </w:r>
    </w:p>
    <w:p>
      <w:r>
        <w:t>Hver gruppes fremlægger vælger ét dilemma og fortæller:</w:t>
      </w:r>
    </w:p>
    <w:p>
      <w:pPr>
        <w:pStyle w:val="ListBullet"/>
      </w:pPr>
      <w:r>
        <w:t>Hvad gruppen ville gøre, og hvilken vinkel der vejede tungest.</w:t>
      </w:r>
    </w:p>
    <w:p>
      <w:pPr>
        <w:pStyle w:val="ListBullet"/>
      </w:pPr>
      <w:r>
        <w:t>Hvor I var uenige i gruppen, og hvorfor.</w:t>
      </w:r>
    </w:p>
    <w:p>
      <w:r>
        <w:rPr>
          <w:b/>
        </w:rPr>
        <w:t>Opgave (fælles): Behøver man religion for at handle godt?</w:t>
      </w:r>
      <w:r>
        <w:t xml:space="preserve"> Tag dilemma 2 (Heinz). Hvad svarer næstekærligheden? Hvad svarer en ren konsekvensetiker </w:t>
      </w:r>
      <w:r>
        <w:rPr>
          <w:i/>
        </w:rPr>
        <w:t>uden</w:t>
      </w:r>
      <w:r>
        <w:t xml:space="preserve"> religion? Når de frem til det samme? Og betyder </w:t>
      </w:r>
      <w:r>
        <w:rPr>
          <w:i/>
        </w:rPr>
        <w:t>begrundelsen</w:t>
      </w:r>
      <w:r>
        <w:t xml:space="preserve"> noget, selv når handlingen er ens?</w:t>
      </w:r>
    </w:p>
    <w:p>
      <w:r>
        <w:rPr>
          <w:b/>
        </w:rPr>
        <w:t>Til sidst, tænk selv (skriv et par linjer):</w:t>
      </w:r>
    </w:p>
    <w:p>
      <w:pPr>
        <w:pStyle w:val="ListNumber"/>
      </w:pPr>
      <w:r>
        <w:t>Hvilken af vinklerne ligger tættest på din egen måde at tænke på? Hvorfor?</w:t>
      </w:r>
    </w:p>
    <w:p>
      <w:pPr>
        <w:pStyle w:val="ListNumber"/>
      </w:pPr>
      <w:r>
        <w:t>Kan man bruge flere vinkler på én gang, eller kommer de nogle gange i konflikt? Giv et eksempel.</w:t>
      </w:r>
    </w:p>
    <w:p>
      <w:pPr>
        <w:pStyle w:val="ListNumber"/>
      </w:pPr>
      <w:r>
        <w:t>Giver religion dig noget ekstra, når du skal afgøre, hvad der er rigtigt? Eller klarer man sig med fornuften alene? Begrund dit svar.</w:t>
      </w:r>
    </w:p>
    <w:p>
      <w:pPr>
        <w:pStyle w:val="ListNumber"/>
      </w:pPr>
      <w:r>
        <w:t>Find selv (eller find på) ét nyt dilemma fra jeres egen hverdag, og skriv, hvad de forskellige vinkler ville sige om det.</w:t>
      </w:r>
    </w:p>
    <w:p>
      <w:pPr>
        <w:pBdr>
          <w:bottom w:val="single" w:sz="6" w:space="1" w:color="BBBBBB"/>
        </w:pBdr>
      </w:pPr>
    </w:p>
    <w:p>
      <w:pPr>
        <w:pStyle w:val="Heading2"/>
      </w:pPr>
      <w:r>
        <w:t>Kilder og links (slå op og læs mere)</w:t>
      </w:r>
    </w:p>
    <w:p>
      <w:pPr>
        <w:pStyle w:val="ListBullet"/>
      </w:pPr>
      <w:r>
        <w:rPr>
          <w:b/>
        </w:rPr>
        <w:t>Pligtetik / det kategoriske imperativ:</w:t>
      </w:r>
      <w:r>
        <w:t xml:space="preserve"> </w:t>
      </w:r>
      <w:hyperlink r:id="rId13">
        <w:r>
          <w:rPr>
            <w:color w:val="0563C1"/>
            <w:u w:val="single"/>
          </w:rPr>
          <w:t xml:space="preserve">https://lex.dk/det_kategoriske_imperativ</w:t>
        </w:r>
      </w:hyperlink>
    </w:p>
    <w:p>
      <w:pPr>
        <w:pStyle w:val="ListBullet"/>
      </w:pPr>
      <w:r>
        <w:rPr>
          <w:b/>
        </w:rPr>
        <w:t>Konsekvensetik / utilitarisme (Bentham, Mill):</w:t>
      </w:r>
      <w:r>
        <w:t xml:space="preserve"> </w:t>
      </w:r>
      <w:hyperlink r:id="rId14">
        <w:r>
          <w:rPr>
            <w:color w:val="0563C1"/>
            <w:u w:val="single"/>
          </w:rPr>
          <w:t xml:space="preserve">https://lex.dk/utilitarisme</w:t>
        </w:r>
      </w:hyperlink>
    </w:p>
    <w:p>
      <w:pPr>
        <w:pStyle w:val="ListBullet"/>
      </w:pPr>
      <w:r>
        <w:rPr>
          <w:b/>
        </w:rPr>
        <w:t>Dydsetik / dyd (Aristoteles):</w:t>
      </w:r>
      <w:r>
        <w:t xml:space="preserve"> </w:t>
      </w:r>
      <w:hyperlink r:id="rId15">
        <w:r>
          <w:rPr>
            <w:color w:val="0563C1"/>
            <w:u w:val="single"/>
          </w:rPr>
          <w:t xml:space="preserve">https://lex.dk/dyd</w:t>
        </w:r>
      </w:hyperlink>
    </w:p>
    <w:p>
      <w:pPr>
        <w:pStyle w:val="ListBullet"/>
      </w:pPr>
      <w:r>
        <w:t>*</w:t>
      </w:r>
      <w:r>
        <w:rPr>
          <w:i/>
        </w:rPr>
        <w:t xml:space="preserve">K.E. Løgstrup (nærhedsetik, </w:t>
      </w:r>
      <w:r>
        <w:t>Den etiske fordring</w:t>
      </w:r>
      <w:r>
        <w:rPr>
          <w:i/>
        </w:rPr>
        <w:t>):</w:t>
      </w:r>
      <w:r>
        <w:t xml:space="preserve">* </w:t>
      </w:r>
      <w:hyperlink r:id="rId16">
        <w:r>
          <w:rPr>
            <w:color w:val="0563C1"/>
            <w:u w:val="single"/>
          </w:rPr>
          <w:t xml:space="preserve">https://lex.dk/K.E._Løgstrup</w:t>
        </w:r>
      </w:hyperlink>
    </w:p>
    <w:p>
      <w:pPr>
        <w:pStyle w:val="ListBullet"/>
      </w:pPr>
      <w:r>
        <w:rPr>
          <w:b/>
        </w:rPr>
        <w:t>Sporvognsproblemet / Philippa Foot:</w:t>
      </w:r>
      <w:r>
        <w:t xml:space="preserve"> </w:t>
      </w:r>
      <w:hyperlink r:id="rId17">
        <w:r>
          <w:rPr>
            <w:color w:val="0563C1"/>
            <w:u w:val="single"/>
          </w:rPr>
          <w:t xml:space="preserve">https://denstoredanske.lex.dk/Philippa_Foot</w:t>
        </w:r>
      </w:hyperlink>
    </w:p>
    <w:p>
      <w:pPr>
        <w:pStyle w:val="ListBullet"/>
      </w:pPr>
      <w:r>
        <w:rPr>
          <w:b/>
        </w:rPr>
        <w:t>Heinz-dilemmaet / Lawrence Kohlberg:</w:t>
      </w:r>
      <w:r>
        <w:t xml:space="preserve"> </w:t>
      </w:r>
      <w:hyperlink r:id="rId18">
        <w:r>
          <w:rPr>
            <w:color w:val="0563C1"/>
            <w:u w:val="single"/>
          </w:rPr>
          <w:t xml:space="preserve">https://lex.dk/Lawrence_Kohlberg</w:t>
        </w:r>
      </w:hyperlink>
    </w:p>
    <w:p>
      <w:pPr>
        <w:pStyle w:val="ListBullet"/>
      </w:pPr>
      <w:r>
        <w:rPr>
          <w:b/>
        </w:rPr>
        <w:t>Næstekærlighedsbuddet (det dobbelte kærlighedsbud):</w:t>
      </w:r>
      <w:r>
        <w:t xml:space="preserve"> </w:t>
      </w:r>
      <w:hyperlink r:id="rId19">
        <w:r>
          <w:rPr>
            <w:color w:val="0563C1"/>
            <w:u w:val="single"/>
          </w:rPr>
          <w:t xml:space="preserve">https://lex.dk/næstekærlighedsbuddet</w:t>
        </w:r>
      </w:hyperlink>
    </w:p>
    <w:p>
      <w:pPr>
        <w:pStyle w:val="ListBullet"/>
      </w:pPr>
      <w:r>
        <w:rPr>
          <w:b/>
        </w:rPr>
        <w:t>Den barmhjertige samaritaner (Luk. 10):</w:t>
      </w:r>
      <w:r>
        <w:t xml:space="preserve"> </w:t>
      </w:r>
      <w:hyperlink r:id="rId20">
        <w:r>
          <w:rPr>
            <w:color w:val="0563C1"/>
            <w:u w:val="single"/>
          </w:rPr>
          <w:t xml:space="preserve">https://www.bibelselskabet.dk/brugbibelen/bibelenonline/Luk/10</w:t>
        </w:r>
      </w:hyperlink>
    </w:p>
    <w:p>
      <w:pPr>
        <w:pStyle w:val="ListBullet"/>
      </w:pPr>
      <w:r>
        <w:rPr>
          <w:b/>
        </w:rPr>
        <w:t>Den gyldne regel:</w:t>
      </w:r>
      <w:r>
        <w:t xml:space="preserve"> </w:t>
      </w:r>
      <w:hyperlink r:id="rId21">
        <w:r>
          <w:rPr>
            <w:color w:val="0563C1"/>
            <w:u w:val="single"/>
          </w:rPr>
          <w:t xml:space="preserve">https://lex.dk/den_gyldne_regel</w:t>
        </w:r>
      </w:hyperlink>
    </w:p>
    <w:p>
      <w:r>
        <w:rPr>
          <w:i/>
        </w:rPr>
        <w:t>Alle links er kontrolleret. Den Store Danske (lex.dk) er et frit, fagfællebedømt dansk leksikon.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hyperlink" Target="https://lex.dk/det_kategoriske_imperativ" TargetMode="External"/><Relationship Id="rId14" Type="http://schemas.openxmlformats.org/officeDocument/2006/relationships/hyperlink" Target="https://lex.dk/utilitarisme" TargetMode="External"/><Relationship Id="rId15" Type="http://schemas.openxmlformats.org/officeDocument/2006/relationships/hyperlink" Target="https://lex.dk/dyd" TargetMode="External"/><Relationship Id="rId16" Type="http://schemas.openxmlformats.org/officeDocument/2006/relationships/hyperlink" Target="https://lex.dk/K.E._L&#248;gstrup" TargetMode="External"/><Relationship Id="rId17" Type="http://schemas.openxmlformats.org/officeDocument/2006/relationships/hyperlink" Target="https://denstoredanske.lex.dk/Philippa_Foot" TargetMode="External"/><Relationship Id="rId18" Type="http://schemas.openxmlformats.org/officeDocument/2006/relationships/hyperlink" Target="https://lex.dk/Lawrence_Kohlberg" TargetMode="External"/><Relationship Id="rId19" Type="http://schemas.openxmlformats.org/officeDocument/2006/relationships/hyperlink" Target="https://lex.dk/n&#230;stek&#230;rlighedsbuddet" TargetMode="External"/><Relationship Id="rId20" Type="http://schemas.openxmlformats.org/officeDocument/2006/relationships/hyperlink" Target="https://www.bibelselskabet.dk/brugbibelen/bibelenonline/Luk/10" TargetMode="External"/><Relationship Id="rId21" Type="http://schemas.openxmlformats.org/officeDocument/2006/relationships/hyperlink" Target="https://lex.dk/den_gyldne_reg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