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Komite - Modelo de Costes Optimizado (Arquitectura de Bajo Coste)</w:t>
      </w:r>
    </w:p>
    <w:p>
      <w:r>
        <w:t>Documento alternativo basado en una estrategia de validación temprana, minimizando costes de infraestructura e IA.</w:t>
      </w:r>
    </w:p>
    <w:p>
      <w:pPr>
        <w:pStyle w:val="Heading1"/>
      </w:pPr>
      <w:r>
        <w:t>1. Filosofía</w:t>
      </w:r>
    </w:p>
    <w:p>
      <w:r>
        <w:t>El objetivo es validar el producto con el menor coste posible, optimizando para adquisición de clientes y no para escalabilidad masiva.</w:t>
      </w:r>
    </w:p>
    <w:p>
      <w:pPr>
        <w:pStyle w:val="Heading1"/>
      </w:pPr>
      <w:r>
        <w:t>2. Arquitectura propuesta</w:t>
      </w:r>
    </w:p>
    <w:p>
      <w:r>
        <w:t>Cloudflare Free</w:t>
        <w:br/>
        <w:t>AWS Lightsail 8 GB / 4 vCPU</w:t>
        <w:br/>
        <w:t>Docker Compose</w:t>
        <w:br/>
        <w:t>- FastAPI</w:t>
        <w:br/>
        <w:t>- Nuxt (portal empleados)</w:t>
        <w:br/>
        <w:t>- Backoffice HTML + JavaScript</w:t>
        <w:br/>
        <w:t>- PostgreSQL</w:t>
        <w:br/>
        <w:t>- Redis</w:t>
        <w:br/>
        <w:t>- Nginx</w:t>
        <w:br/>
        <w:t>- Ollama (IA local)</w:t>
        <w:br/>
        <w:br/>
        <w:t>Almacenamiento:</w:t>
        <w:br/>
        <w:t>- AWS S3 para fotografías, documentos e informes</w:t>
        <w:br/>
      </w:r>
    </w:p>
    <w:p>
      <w:pPr>
        <w:pStyle w:val="Heading1"/>
      </w:pPr>
      <w:r>
        <w:t>3. Estrategia IA híbrida</w:t>
      </w:r>
    </w:p>
    <w:p>
      <w:r>
        <w:t>No utilizar OpenAI para todas las operaciones.</w:t>
        <w:br/>
        <w:br/>
        <w:t>Clasificación de incidencias -&gt; Reglas + palabras clave</w:t>
        <w:br/>
        <w:t>Priorización -&gt; Reglas</w:t>
        <w:br/>
        <w:t>Resúmenes simples -&gt; Mistral local (Ollama)</w:t>
        <w:br/>
        <w:t>Informes diarios -&gt; Mistral local</w:t>
        <w:br/>
        <w:t>Comunicaciones formales importantes -&gt; OpenAI</w:t>
        <w:br/>
        <w:t>Informes mensuales ejecutivos -&gt; OpenAI</w:t>
        <w:br/>
      </w:r>
    </w:p>
    <w:p>
      <w:pPr>
        <w:pStyle w:val="Heading1"/>
      </w:pPr>
      <w:r>
        <w:t>4. Reducción de costes de almacenamiento</w:t>
      </w:r>
    </w:p>
    <w:p>
      <w:r>
        <w:t>- Compresión automática de imágenes.</w:t>
        <w:br/>
        <w:t>- No almacenar vídeos largos.</w:t>
        <w:br/>
        <w:t>- Eliminar audios originales tras transcripción (opcional).</w:t>
        <w:br/>
        <w:t>- Políticas de ciclo de vida S3:</w:t>
        <w:br/>
        <w:t xml:space="preserve">  * 0-12 meses -&gt; Standard</w:t>
        <w:br/>
        <w:t xml:space="preserve">  * 12-36 meses -&gt; Infrequent Access</w:t>
        <w:br/>
        <w:t xml:space="preserve">  * &gt;36 meses -&gt; Glacier</w:t>
        <w:br/>
      </w:r>
    </w:p>
    <w:p>
      <w:pPr>
        <w:pStyle w:val="Heading1"/>
      </w:pPr>
      <w:r>
        <w:t>5. Costes mensuales estimados para toda la plataforma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Concepto</w:t>
            </w:r>
          </w:p>
        </w:tc>
        <w:tc>
          <w:tcPr>
            <w:tcW w:type="dxa" w:w="2880"/>
          </w:tcPr>
          <w:p>
            <w:r>
              <w:t>Coste USD/mes</w:t>
            </w:r>
          </w:p>
        </w:tc>
        <w:tc>
          <w:tcPr>
            <w:tcW w:type="dxa" w:w="2880"/>
          </w:tcPr>
          <w:p>
            <w:r>
              <w:t>Observaciones</w:t>
            </w:r>
          </w:p>
        </w:tc>
      </w:tr>
      <w:tr>
        <w:tc>
          <w:tcPr>
            <w:tcW w:type="dxa" w:w="2880"/>
          </w:tcPr>
          <w:p>
            <w:r>
              <w:t>AWS Lightsail 8GB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Servidor principal</w:t>
            </w:r>
          </w:p>
        </w:tc>
      </w:tr>
      <w:tr>
        <w:tc>
          <w:tcPr>
            <w:tcW w:type="dxa" w:w="2880"/>
          </w:tcPr>
          <w:p>
            <w:r>
              <w:t>AWS S3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Primeros clientes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Uso selectivo</w:t>
            </w:r>
          </w:p>
        </w:tc>
      </w:tr>
      <w:tr>
        <w:tc>
          <w:tcPr>
            <w:tcW w:type="dxa" w:w="2880"/>
          </w:tcPr>
          <w:p>
            <w:r>
              <w:t>Cloudflare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Plan gratuito</w:t>
            </w:r>
          </w:p>
        </w:tc>
      </w:tr>
      <w:tr>
        <w:tc>
          <w:tcPr>
            <w:tcW w:type="dxa" w:w="2880"/>
          </w:tcPr>
          <w:p>
            <w:r>
              <w:t>Backups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Snapshots</w:t>
            </w:r>
          </w:p>
        </w:tc>
      </w:tr>
    </w:tbl>
    <w:p>
      <w:r>
        <w:t>Coste total estimado plataforma completa: USD 60 - 70 mensuales.</w:t>
      </w:r>
    </w:p>
    <w:p>
      <w:pPr>
        <w:pStyle w:val="Heading1"/>
      </w:pPr>
      <w:r>
        <w:t>6. Coste aproximado por cliente</w:t>
      </w:r>
    </w:p>
    <w:p>
      <w:r>
        <w:t>Con una plataforma multi-tenant:</w:t>
        <w:br/>
        <w:br/>
        <w:t>10 clientes -&gt; USD 6 - 7 por cliente</w:t>
        <w:br/>
        <w:t>20 clientes -&gt; USD 3 - 4 por cliente</w:t>
        <w:br/>
        <w:t>50 clientes -&gt; USD 1 - 2 por cliente</w:t>
        <w:br/>
      </w:r>
    </w:p>
    <w:p>
      <w:pPr>
        <w:pStyle w:val="Heading1"/>
      </w:pPr>
      <w:r>
        <w:t>7. Modelo comercial recomendado</w:t>
      </w:r>
    </w:p>
    <w:p>
      <w:r>
        <w:t>Plan Start (hasta 3 condominios): $99.000 CLP/mes</w:t>
        <w:br/>
        <w:t>Plan Professional (hasta 10 condominios): $149.000 CLP/mes</w:t>
        <w:br/>
        <w:t>Plan Enterprise: desde $299.000 CLP/mes</w:t>
        <w:br/>
        <w:br/>
        <w:t>Implementación inicial opcional:</w:t>
        <w:br/>
        <w:t>$300.000 - $800.000 CLP según parametrización.</w:t>
        <w:br/>
      </w:r>
    </w:p>
    <w:p>
      <w:pPr>
        <w:pStyle w:val="Heading1"/>
      </w:pPr>
      <w:r>
        <w:t>8. Conclusiones</w:t>
      </w:r>
    </w:p>
    <w:p>
      <w:r>
        <w:t>El principal coste de Komite no será la infraestructura sino el soporte, capacitación y evolución funcional del producto. La arquitectura propuesta permite validar el negocio con costes muy reducidos.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