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r>
      <w:r>
        <w:br/>
      </w:r>
      <w:r>
        <w:t xml:space="preserve">Student ID: X23432721</w:t>
      </w:r>
      <w:r>
        <w:br/>
      </w:r>
      <w:r>
        <w:rPr>
          <w:i/>
          <w:iCs/>
        </w:rPr>
        <w:t xml:space="preserve">MSc in Cloud Computing</w:t>
      </w:r>
      <w:r>
        <w:br/>
      </w:r>
      <w:r>
        <w:rPr>
          <w:i/>
          <w:iCs/>
        </w:rPr>
        <w:t xml:space="preserve">National College of Ireland</w:t>
      </w:r>
      <w:r>
        <w:br/>
      </w:r>
      <w:r>
        <w:t xml:space="preserve">Dublin, Ireland</w:t>
      </w:r>
      <w:r>
        <w:br/>
      </w:r>
      <w: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the module's function-as-a-service scalability criterion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built as an individual assignment for the Fog and Edge Computing (H9FECC) module. The brief for this coursework required, at minimum: (1) a sensor and fog layer generating data from three to five distinct sensor types with independently configurable sampling and dispatch rates, where the fog node genuinely receives and processes sensor data before dispatching it onward; (2) a scalable backend layer, designed around mechanisms such as queues, function-as-a-service (FaaS), or autoscaling, that processes the fog node's output and exposes a responsive dashboard for the sensor types; and (3)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satisfying the brief's requirement that generation frequency and dispatch rate be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an Amazon SQS standard queue decouples the fog node's dispatch rate from the backend's processing rate, and an AWS Lambda function, subscribed to that queue via an event-source mapping, is invoked automatically as messages arrive, writing each aggregated window into an Amazon DynamoDB table. This queue-plus-FaaS pairing is one of the scalability mechanisms the brief explicitly names as an example,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which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piece of the “scalable backend” requirement still resting on a persistent server rather than on a queue or FaaS mechanism, unlike every other backend component.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Amazon CloudFront is unavailable in this account, including read-only operations, so the S3 bucket is served over its own virtual-hosted-style HTTPS endpoint rather than through a CloudFront distribution; and public, unauthenticated AWS Lambda Function URLs are also blocked, confirmed by a successful authenticated invocation of the same function returning a Forbidden response when invoked through its Function URL. Amazon API Gateway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because it collapses the backend into exactly the single point of failure and the fixed-capacity server the brief's “scalable... queues, FaaS, autoscaling” language is written to move away from: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Kinesis is the more natural choice when multiple independent consumers must each read the full stream, or when strict, per-shard ordering is required; this system has exactly one consumer (the processor Lambda) and no ordering requirement across sensor types or districts, so SQS's simpler competing-consumer queue model, its lower cost at this data volume, and its native, zero-configuration Lambda event-source-mapping integration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and the brief's cloud-deployment requirement is explicitly scoped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two inbound rules opened are for fog's own health and threshold endpoints (port 8100), which the dashboard's Lambda function needs to reach, and both are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and asserts, first, that the queue depth is non-zero immediately after the burst (proving the messages genuinely reached SQS rather than being silently dropped), and second, that the queue depth has either fully drained or measurably decreased within a timeout window, allowing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then, in a second job, brings the entire stack up with Docker Compose against LocalStack and runs a dedicated end-to-end verification script that exercises the live pipeline, submits synthetic readings, and asserts that they land in DynamoDB with the expected sort_key shape, tearing the stack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after an AWS Academy Learner Lab session ends and a fresh one begins, since the Learner Lab platform stops the EC2 instance between sessions; this workflow reads its AWS credentials from encrypted GitHub repository secrets rather than accepting them as plain workflow inputs, verifies that the credentials resolve to the expected AWS account before doing anything else, and only then starts the instance, waits for its Systems Manager agent to register, and re-verifies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satisfying the brief's requirement that the backend be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including a live fault-injection check in which the underlying dependency was deliberately made unavailable to confirm the fix degrades gracefully rather than merely passing under normal conditions.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and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the reason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satisfying the module brief's requirements for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module's own assessment criterion that each layer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w:t>
      </w:r>
    </w:p>
    <w:p>
      <w:pPr>
        <w:pStyle w:val="references"/>
        <w:ind w:start="17.70pt" w:hanging="17.70pt"/>
      </w:pPr>
      <w:r>
        <w:t xml:space="preserve">Amazon Web Services, “Amazon DynamoDB Developer Guide,” Amazon Web Services, Inc. [Online]. Available: https://docs.aws.amazon.com/dynamodb/</w:t>
      </w:r>
    </w:p>
    <w:p>
      <w:pPr>
        <w:pStyle w:val="references"/>
        <w:ind w:start="17.70pt" w:hanging="17.70pt"/>
      </w:pPr>
      <w:r>
        <w:t xml:space="preserve">Amazon Web Services, “Amazon Simple Queue Service Developer Guide,” Amazon Web Services, Inc. [Online]. Available: https://docs.aws.amazon.com/sqs/</w:t>
      </w:r>
    </w:p>
    <w:p>
      <w:pPr>
        <w:pStyle w:val="references"/>
        <w:ind w:start="17.70pt" w:hanging="17.70pt"/>
      </w:pPr>
      <w:r>
        <w:t xml:space="preserve">Amazon Web Services, “Amazon API Gateway Developer Guide,” Amazon Web Services, Inc. [Online]. Available: https://docs.aws.amazon.com/apigateway/</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w:t>
      </w:r>
    </w:p>
    <w:p>
      <w:pPr>
        <w:pStyle w:val="references"/>
        <w:ind w:start="17.70pt" w:hanging="17.70pt"/>
      </w:pPr>
      <w:r>
        <w:t xml:space="preserve">OpenJS Foundation, “Node.js Documentation.” [Online]. Available: https://nodejs.org/docs/</w:t>
      </w:r>
    </w:p>
    <w:p>
      <w:pPr>
        <w:pStyle w:val="references"/>
        <w:ind w:start="17.70pt" w:hanging="17.70pt"/>
      </w:pPr>
      <w:r>
        <w:t xml:space="preserve">LocalStack, “LocalStack Documentation.” [Online]. Available: https://docs.localstack.cloud/</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w:t>
      </w:r>
    </w:p>
    <w:sectPr w:rsidR="009303D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