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Robotics Health Pipeline</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 -- battery level, payload weight, motor temperature, position drift and task-queue depth -- 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 -- the first deployment in this portfolio built that way -- 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 -- battery_level_pct, payload_kg, motor_temp_c, position_drift_cm and task_queue_depth -- 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 -- 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 -- five sensor types across two zones -- 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 -- windowing, threshold evaluation, batching -- 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 -- an actual deployment to AWS rather than a description of one. A further requirement, specific to this shared portfolio, was that the project's internal design -- concurrency handling, alert-rule representation, JSON handling, HTTP routing -- 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 -- SAMPLE_INTERVAL controls how often a new reading is generated, DISPATCH_INTERVAL how often a batch of readings is pushed to the fog gateway -- 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 -- a sort key disambiguated by window_end and site_id, adapted from the pattern already established elsewhere in this portfolio -- 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 -- the difference this project's own load test, described in Section IV, was built to demonstrate.</w:t>
      </w:r>
    </w:p>
    <w:p>
      <w:pPr>
        <w:pStyle w:val="BodyText"/>
      </w:pPr>
      <w:r>
        <w:t xml:space="preserve">This project shares its overall pipeline shape -- fog to queue to Lambda to DynamoDB, queried by a second Lambda behind API Gateway -- 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 -- 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 -- 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Amber dotted spokes mark wrf-dashboard-api's four real read dependencies.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 -- 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 -- DynamoWriteSpy, FleetReadingsTable, ProcessorStatusStub, RelayQueueStub, RelaySqsSpy -- 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 -- sensors, fog, backend/processor and backend/dashboard -- 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 -- 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 -- 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 -- 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 -- which specifically exercises the multi-page Scan-pagination fix described in Section V -- 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 -- the roster table with its inline sparklines and LED status indicators, and the detail panel beneath it -- 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 -- 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 -- 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 -- 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 -- the SQS-to-Lambda-to-DynamoDB shape, the window_end/site_id sort-key scheme, the dashboard health-check pattern and the dual-rate sensor knobs -- 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 -- 24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 -- 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 -- 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Robotics Health Pipeline</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Robotics Health Pipeline</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