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National College of Ireland</w:t>
      </w:r>
      <w:r>
        <w:br/>
        <w:t xml:space="preserve">Dublin, Ireland</w:t>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an overheating bin, a gas build-up, evidence of tampering, undetected between scheduled visits,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 a pattern surveyed broadly across IoT-enabled smart-city waste systems [13] and demonstrated concretely in fill-level-sensing deployments such as Folianto et al.’s Smartbin [14].</w:t>
      </w:r>
    </w:p>
    <w:p>
      <w:pPr>
        <w:pStyle w:val="BodyText"/>
      </w:pPr>
      <w:r>
        <w:t xml:space="preserve">The National Institute of Standards and Technology defines cloud computing around five essential characteristics, on-demand self-service, broad network access, resource pooling, rapid elasticity, and measured service [9]; fog computing, in turn, is not a rejection of that model but an extension of it. Bonomi et al. define fog computing as a platform that extends cloud services to the edge of the network, characterised by low latency, geographic distribution, and support for a large number of nodes [5], part of the broader edge computing paradigm that more generally relocates computation and storage away from a centralised cloud and toward the data source [11], [12]. This project adopts that definition directly: aggregation and alerting are pushed to a fog node co-located with the sensors, and only reduced, already-meaningful data crosses the network boundary into the cloud proper, rather than a “thin edge, thick cloud” design in which every raw reading is streamed upstream for processing. The cloud-side design decisions in Section II, in turn, are justified against the AWS Well-Architected Framework's operational-excellence, reliability, and cost-optimisation pillars [10],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[20]: an Amazon SQS [3] standard queue decouples the fog node's dispatch rate from the backend's processing rate, and an AWS Lambda [1] function, subscribed to that queue via an event-source mapping, is invoked automatically as messages arrive, writing each aggregated window into an Amazon DynamoDB [2]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[15], [16]. This is a genuine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[17].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rather than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rather than on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[4]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rather than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[18].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rather than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 genuine limitation, not a design preference: in a production account, the processor and dashboard-API functions would each hold their own least-privilege role, consistent with established access-control models for cloud computing [21] (the processor needing only sqs:ReceiveMessage/DeleteMessage and dynamodb:PutItem; the dashboard API needing only read-oriented DynamoDB, SQS, and Lambda-metadata actions), and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[7],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[6] together with LocalStack [8], an open-source AWS cloud emulator, applying the same container-based reproducibility principle used more broadly in cloud deployment [19], so the same SQS, DynamoDB, and Lambda interactions used in production can be exercised without touching a real AWS account during day-to-day development.</w:t>
      </w:r>
    </w:p>
    <w:p>
      <w:pPr>
        <w:pStyle w:val="BodyText"/>
      </w:pPr>
      <w:r>
        <w:t xml:space="preserve">Choosing Node.js consistently across all four components, rather than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rather than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rather than trusted from the application's own self-reported status alone.</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rather than left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rather than two least-privilege roles, a constraint of the Learner Lab account rather than a deliberate security design, as discussed in Section II-F; this is a genuine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N. Naik, “Choice of effective messaging protocols for IoT systems: MQTT, CoAP, AMQP and HTTP,” in Proc. 2017 IEEE Int. Systems Engineering Symposium (ISSE), Vienna, Austria, 2017.</w:t>
      </w:r>
    </w:p>
    <w:p>
      <w:pPr>
        <w:pStyle w:val="references"/>
        <w:ind w:start="17.70pt" w:hanging="17.70pt"/>
      </w:pPr>
      <w:r>
        <w:t xml:space="preserve">D. Bernstein, “Containers and cloud: From LXC to Docker to Kubernetes,” IEEE Cloud Computing, vol. 1, no. 3, pp. 81–84, 2014.</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