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Threshold Alerting for Underground Mine Safety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x25156381@student.ncirl.ie</w:t>
      </w:r>
    </w:p>
    <w:p>
      <w:pPr>
        <w:pStyle w:val="Abstract"/>
      </w:pPr>
      <w:r>
        <w:rPr>
          <w:b/>
          <w:i/>
        </w:rPr>
        <w:t xml:space="preserve">Abstract</w:t>
      </w:r>
      <w:r>
        <w:rPr>
          <w:i/>
        </w:rPr>
        <w:t xml:space="preserve">—Underground mine environments concentrate five hazard signals—methane, carbon monoxide, airborne dust, ground vibration and ambient temperature—in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defects—a DynamoDB scan-pagination undercount, unbatched SQS publishing, hardcoded static AWS credentials present in all three AWS-facing classes, and a credential risk in LocalStack-only deployment tooling—before any of them reached the live account. Post-deployment verification confirmed all four health-check fields true on the first check, item counts climbing past 1,400, and DANGER alerts rendering correctly in a browser with zero console errors.</w:t>
      </w:r>
    </w:p>
    <w:p>
      <w:pPr>
        <w:pStyle w:val="Keywords"/>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layer—on-demand provisioning, broad network access, and a pay-per-use resource pool—is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window—average, maximum, and any firing alerts—onward.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shape—"give me the last N windows for this sensor type"—as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modules—sensors, fog, backend/processor, backend/dashboard—each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flow—the pagination sentinel logic, the batching chunk math, the credential-gating condition—rather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docker-compose.yml—sensor-vibration-a samples every second but dispatches every seven, sensor-temp-a samples every five seconds and dispatches every fifteen—so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tooling—it was never run against the real account, since both Lambdas there were built with mvn package -DskipTests and created directly through the AWS CLI—and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turn—sensors, fog, backend/processor, backend/dashboard—so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classes—MineDashboardApp.awsClient(), SafetyHandler.client(), and SafetyPublisher's constructor—unconditionally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non-null—true solely for the LocalStack profile—matching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account—both Lambdas there were built and registered directly through the AWS CLI instead—but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banners—methane buildup risk, silica dust hazard, CO exposure risk, blast vibration exceedance—for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p>
      <w:pPr>
        <w:pStyle w:val="tablecaption"/>
      </w:pPr>
      <w:r>
        <w:t xml:space="preserve">TABLE I.</w:t>
      </w:r>
      <w:r>
        <w:t xml:space="preserve">   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account—not the burst test infra/burst.py already runs against synthetic loadtest_* message types on LocalStack, but the same shape of test pointed at the live SQS queue and both real Lambdas—would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over—once per component that needed it—and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Threshold Alerting for Underground Mine Safety on a Java Fog-to-Cloud Stack</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Threshold Alerting for Underground Mine Safety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