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Dublin, Ireland</w:t>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the module's function-as-a-service scalability criterion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built as an individual assignment for the Fog and Edge Computing (H9FECC) module. The brief for this coursework required, at minimum: (1) a sensor and fog layer generating data from three to five distinct sensor types with independently configurable sampling and dispatch rates, where the fog node genuinely receives and processes sensor data before dispatching it onward; (2) a scalable backend layer, designed around mechanisms such as queues, function-as-a-service (FaaS), or autoscaling, that processes the fog node's output and exposes a responsive dashboard for the sensor types; and (3)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satisfying the brief's requirement that generation frequency and dispatch rate be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one of the scalability mechanisms the brief explicitly names as an example,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which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piece of the “scalable backend” requirement still resting on a persistent server rather than on a queue or FaaS mechanism, unlike every other backend component.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Amazon CloudFront is unavailable in this account, including read-only operations, so the S3 bucket is served over its own virtual-hosted-style HTTPS endpoint rather than through a CloudFront distribution; and public, unauthenticated AWS Lambda Function URLs are also blocked,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because it collapses the backend into exactly the single point of failure and the fixed-capacity server the brief's “scalable... queues, FaaS, autoscaling” language is written to move away from: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Kinesis is the more natural choice when multiple independent consumers must each read the full stream, or when strict, per-shard ordering is required; this system has exactly one consumer (the processor Lambda) and no ordering requirement across sensor types or districts, so SQS's simpler competing-consumer queue model, its lower cost at this data volume, and its native, zero-configuration Lambda event-source-mapping integration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and the brief's cloud-deployment requirement is explicitly scoped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and asserts, first, that the queue depth is non-zero immediately after the burst (proving the messages genuinely reached SQS rather than being silently dropped), and second, that the queue depth has either fully drained or measurably decreased within a timeout window, allowing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then, in a second job, brings the entire stack up with Docker Compose against LocalStack and runs a dedicated end-to-end verification script that exercises the live pipeline, submits synthetic readings, and asserts that they land in DynamoDB with the expected sort_key shape, tearing the stack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after an AWS Academy Learner Lab session ends and a fresh one begins, since the Learner Lab platform stops the EC2 instance between sessions; this workflow reads its AWS credentials from encrypted GitHub repository secrets rather than accepting them as plain workflow inputs, verifies that the credentials resolve to the expected AWS account before doing anything else, and only then starts the instance, waits for its Systems Manager agent to register, and re-verifies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satisfying the brief's requirement that the backend be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and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the reason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satisfying the module brief's requirements for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module's own assessment criterion that each layer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sectPr w:rsidR="009303D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National College of Ireland, H9FECC Fog and Edge Computing CA, 2026</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