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Real-Time Bridge Monitoring: A Fog-to-Serverless AWS Pipeline for Marine Vessel Sensor Data</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 -- every static asset on the deployed dashboard 404ing -- was found only once the live page was opened in an actual browser, not merely queried through its API. What follows lays out that architecture, the paths not taken and why, and the proof gathered by putting the running system itself to the test.</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 -- for example engine room temperature steps by up to 4.0 degC across a 20-90 degC range, hull vibration by up to 1.5 mm/s across 0-20 mm/s -- 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 -- 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 -- 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 -- 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 -- 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 -- 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 -- 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 -- 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 -- 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 -- 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 -- 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 -- 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 -- 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 -- bounded random-walk clamping at each profile's lo/hi limits, and the two independently configurable SAMPLE_INTERVAL/DISPATCH_INTERVAL knobs -- 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 -- 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 -- 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 -- where the pagination and batching fixes live -- 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 -- the EC2 instance, both Lambda functions, the SQS queue, the DynamoDB table, and the API Gateway API -- 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 -- 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 -- 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 -- 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 -- 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 -- an actual AWS account in the first case, an actual browser rendering the actual page in the second -- 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 -- off its one continuously running EC2 instance and onto a scheduled-Lambda, fully event-driven model -- 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Bridge Monitoring: A Fog-to-Serverless AWS Pipeline for Marine Vessel Sensor Data</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Bridge Monitoring: A Fog-to-Serverless AWS Pipeline for Marine Vessel Sensor Data</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