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Architecture for Smart Waste Management</w:t>
      </w:r>
    </w:p>
    <w:p>
      <w:pPr>
        <w:pStyle w:val="Author"/>
      </w:pPr>
      <w:r>
        <w:t xml:space="preserve">Gundeti Sachin Reddy</w:t>
        <w:br/>
        <w:t xml:space="preserve">Student ID: X23432721</w:t>
        <w:br/>
      </w:r>
      <w:r>
        <w:rPr>
          <w:i/>
          <w:iCs/>
        </w:rPr>
        <w:t xml:space="preserve">MSc in Cloud Computing</w:t>
      </w:r>
      <w:r>
        <w:br/>
      </w:r>
      <w:r>
        <w:rPr>
          <w:i/>
          <w:iCs/>
        </w:rPr>
        <w:t xml:space="preserve">Fog and Edge Computing (H9FECC)</w:t>
      </w:r>
      <w:r>
        <w:br/>
      </w:r>
      <w:r>
        <w:rPr>
          <w:i/>
          <w:iCs/>
        </w:rPr>
        <w:t xml:space="preserve">National College of Ireland</w:t>
      </w:r>
      <w:r>
        <w:b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default" r:id="rId8"/>
          <w:pgSz w:w="595.30pt" w:h="841.90pt" w:code="9"/>
          <w:pgMar w:top="27pt" w:right="44.65pt" w:bottom="72pt" w:left="44.65pt" w:header="36pt" w:footer="36pt" w:gutter="0pt"/>
          <w:cols w:space="36pt"/>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a function-as-a-service scalability model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not on actual bin conditions, which routinely results in either premature collection runs to bins that are not yet full or, conversely, overflowing bins and associated fire and odour hazards that are only discovered after the fact. Beyond the direct cost of wasted collection runs, a fixed schedule also leaves genuinely hazardous conditions undetected between scheduled visits: an overheating bin, a gas build-up, or evidence of tampering. These are precisely the conditions a condition-driven system is meant to surface immediately, rather than on the next calendar date. Internet of Things sensing, combined with fog and edge processing close to the data source, allows a waste authority to move from a fixed schedule to a condition-driven one, collecting the busiest bins first while still processing data efficiently without streaming every raw reading to the cloud. This is a pattern surveyed broadly across IoT-enabled smart-city waste systems [1] and demonstrated concretely in fill-level-sensing deployments such as Folianto et al.’s Smartbin [2].</w:t>
      </w:r>
    </w:p>
    <w:p>
      <w:pPr>
        <w:pStyle w:val="BodyText"/>
      </w:pPr>
      <w:r>
        <w:t xml:space="preserve">The National Institute of Standards and Technology defines cloud computing around five essential characteristics, on-demand self-service, broad network access, resource pooling, rapid elasticity, and measured service [3]; fog computing, in turn, is not a rejection of that model but an extension of it. Bonomi et al. define fog computing as a platform that extends cloud services to the edge of the network, characterised by low latency, geographic distribution, and support for a large number of nodes [4]. This is part of the broader edge computing paradigm that more generally relocates computation and storage away from a centralised cloud and toward the data source [5], [6]. This project adopts that definition directly: aggregation and alerting are pushed to a fog node co-located with the sensors, and only reduced, already-meaningful data crosses the network boundary into the cloud proper, as opposed to a “thin edge, thick cloud” design in which every raw reading is streamed upstream for processing. The cloud-side design decisions in Section II, in turn, are justified against the AWS Well-Architected Framework's operational-excellence, reliability, and cost-optimisation pillars [7], rather than by convention alone.</w:t>
      </w:r>
    </w:p>
    <w:p>
      <w:pPr>
        <w:pStyle w:val="BodyText"/>
      </w:pPr>
      <w:r>
        <w:t xml:space="preserve">This paper documents the design and construction of a fog and edge computing solution for this domain. The system was designed to satisfy three requirements at minimum. First, a sensor and fog layer generating data from three to five distinct sensor types with independently configurable sampling and dispatch rates, where the fog node genuinely receives and processes sensor data before dispatching it onward. Second, a scalable backend layer, designed around mechanisms such as queues, function-as-a-service (FaaS), or autoscaling,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a critical comparison against the architectural alternatives that were not chosen, and the security posture of the resulting deployment. Section III describes the concrete implementation: the software components and libraries used, the automated test suite, the continuous integration and deployment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so that generation frequency and dispatch rate are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windowed aggregation, not a pass-through relay, computing a minimum, maximum, average, latest value, and reading count over a fixed time window. Each aggregated window is evaluated against the domain-specific threshold rules listed in Table I, and the resulting aggregate-plus-alerts payload is dispatched as a single message to an Amazon SQS queue. Performing aggregation and alerting in the fog layer, instead of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tablehead"/>
      </w:pPr>
      <w:r>
        <w:t xml:space="preserve">Fog Layer Alert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50"/>
        <w:gridCol w:w="1450"/>
        <w:gridCol w:w="1650"/>
      </w:tblGrid>
      <w:tr>
        <w:tc>
          <w:tcPr>
            <w:tcW w:w="1550" w:type="dxa"/>
          </w:tcPr>
          <w:p>
            <w:pPr>
              <w:pStyle w:val="tablecolhead"/>
            </w:pPr>
            <w:r>
              <w:t xml:space="preserve">Sensor Type</w:t>
            </w:r>
          </w:p>
        </w:tc>
        <w:tc>
          <w:tcPr>
            <w:tcW w:w="1450" w:type="dxa"/>
          </w:tcPr>
          <w:p>
            <w:pPr>
              <w:pStyle w:val="tablecolhead"/>
            </w:pPr>
            <w:r>
              <w:t xml:space="preserve">Rule</w:t>
            </w:r>
          </w:p>
        </w:tc>
        <w:tc>
          <w:tcPr>
            <w:tcW w:w="1650" w:type="dxa"/>
          </w:tcPr>
          <w:p>
            <w:pPr>
              <w:pStyle w:val="tablecolhead"/>
            </w:pPr>
            <w:r>
              <w:t xml:space="preserve">Alert Key</w:t>
            </w:r>
          </w:p>
        </w:tc>
      </w:tr>
      <w:tr>
        <w:tc>
          <w:tcPr>
            <w:tcW w:w="1550" w:type="dxa"/>
          </w:tcPr>
          <w:p>
            <w:pPr>
              <w:pStyle w:val="tablecopy"/>
            </w:pPr>
            <w:r>
              <w:t xml:space="preserve">fill_level_pct</w:t>
            </w:r>
          </w:p>
        </w:tc>
        <w:tc>
          <w:tcPr>
            <w:tcW w:w="1450" w:type="dxa"/>
          </w:tcPr>
          <w:p>
            <w:pPr>
              <w:pStyle w:val="tablecopy"/>
            </w:pPr>
            <w:r>
              <w:t xml:space="preserve">avg &gt; 85%</w:t>
            </w:r>
          </w:p>
        </w:tc>
        <w:tc>
          <w:tcPr>
            <w:tcW w:w="1650" w:type="dxa"/>
          </w:tcPr>
          <w:p>
            <w:pPr>
              <w:pStyle w:val="tablecopy"/>
            </w:pPr>
            <w:r>
              <w:t xml:space="preserve">collection_needed</w:t>
            </w:r>
          </w:p>
        </w:tc>
      </w:tr>
      <w:tr>
        <w:tc>
          <w:tcPr>
            <w:tcW w:w="1550" w:type="dxa"/>
          </w:tcPr>
          <w:p>
            <w:pPr>
              <w:pStyle w:val="tablecopy"/>
            </w:pPr>
            <w:r>
              <w:t xml:space="preserve">internal_temp_c</w:t>
            </w:r>
          </w:p>
        </w:tc>
        <w:tc>
          <w:tcPr>
            <w:tcW w:w="1450" w:type="dxa"/>
          </w:tcPr>
          <w:p>
            <w:pPr>
              <w:pStyle w:val="tablecopy"/>
            </w:pPr>
            <w:r>
              <w:t xml:space="preserve">avg &gt; 55°C</w:t>
            </w:r>
          </w:p>
        </w:tc>
        <w:tc>
          <w:tcPr>
            <w:tcW w:w="1650" w:type="dxa"/>
          </w:tcPr>
          <w:p>
            <w:pPr>
              <w:pStyle w:val="tablecopy"/>
            </w:pPr>
            <w:r>
              <w:t xml:space="preserve">fire_risk_warning</w:t>
            </w:r>
          </w:p>
        </w:tc>
      </w:tr>
      <w:tr>
        <w:tc>
          <w:tcPr>
            <w:tcW w:w="1550" w:type="dxa"/>
          </w:tcPr>
          <w:p>
            <w:pPr>
              <w:pStyle w:val="tablecopy"/>
            </w:pPr>
            <w:r>
              <w:t xml:space="preserve">gas_level_ppm</w:t>
            </w:r>
          </w:p>
        </w:tc>
        <w:tc>
          <w:tcPr>
            <w:tcW w:w="1450" w:type="dxa"/>
          </w:tcPr>
          <w:p>
            <w:pPr>
              <w:pStyle w:val="tablecopy"/>
            </w:pPr>
            <w:r>
              <w:t xml:space="preserve">avg &gt; 400 ppm</w:t>
            </w:r>
          </w:p>
        </w:tc>
        <w:tc>
          <w:tcPr>
            <w:tcW w:w="1650" w:type="dxa"/>
          </w:tcPr>
          <w:p>
            <w:pPr>
              <w:pStyle w:val="tablecopy"/>
            </w:pPr>
            <w:r>
              <w:t xml:space="preserve">odor_gas_exceedance</w:t>
            </w:r>
          </w:p>
        </w:tc>
      </w:tr>
      <w:tr>
        <w:tc>
          <w:tcPr>
            <w:tcW w:w="1550" w:type="dxa"/>
          </w:tcPr>
          <w:p>
            <w:pPr>
              <w:pStyle w:val="tablecopy"/>
            </w:pPr>
            <w:r>
              <w:t xml:space="preserve">lid_open_count</w:t>
            </w:r>
          </w:p>
        </w:tc>
        <w:tc>
          <w:tcPr>
            <w:tcW w:w="1450" w:type="dxa"/>
          </w:tcPr>
          <w:p>
            <w:pPr>
              <w:pStyle w:val="tablecopy"/>
            </w:pPr>
            <w:r>
              <w:t xml:space="preserve">max &gt; 8</w:t>
            </w:r>
          </w:p>
        </w:tc>
        <w:tc>
          <w:tcPr>
            <w:tcW w:w="1650" w:type="dxa"/>
          </w:tcPr>
          <w:p>
            <w:pPr>
              <w:pStyle w:val="tablecopy"/>
            </w:pPr>
            <w:r>
              <w:t xml:space="preserve">tamper_suspected</w:t>
            </w:r>
          </w:p>
        </w:tc>
      </w:tr>
      <w:tr>
        <w:tc>
          <w:tcPr>
            <w:tcW w:w="1550" w:type="dxa"/>
          </w:tcPr>
          <w:p>
            <w:pPr>
              <w:pStyle w:val="tablecopy"/>
            </w:pPr>
            <w:r>
              <w:t xml:space="preserve">bin_weight_kg</w:t>
            </w:r>
          </w:p>
        </w:tc>
        <w:tc>
          <w:tcPr>
            <w:tcW w:w="1450" w:type="dxa"/>
          </w:tcPr>
          <w:p>
            <w:pPr>
              <w:pStyle w:val="tablecopy"/>
            </w:pPr>
            <w:r>
              <w:t xml:space="preserve">(no rule)</w:t>
            </w:r>
          </w:p>
        </w:tc>
        <w:tc>
          <w:tcPr>
            <w:tcW w:w="1650" w:type="dxa"/>
          </w:tcPr>
          <w:p>
            <w:pPr>
              <w:pStyle w:val="tablecopy"/>
            </w:pPr>
            <w:r>
              <w:t xml:space="preserve">—</w:t>
            </w:r>
          </w:p>
        </w:tc>
      </w:tr>
    </w:tbl>
    <w:p>
      <w:pPr>
        <w:pStyle w:val="BodyText"/>
      </w:pPr>
      <w:r>
        <w:t xml:space="preserve">bin_weight_kg carries no threshold rule deliberately: weight alone does not indicate a collection-worthy or hazardous state independently of fill level, so no alert was defined for it, rather than an arbitrary one being added purely for symmetry with the other four sensor types.</w:t>
      </w:r>
    </w:p>
    <w:p>
      <w:pPr>
        <w:pStyle w:val="Heading2"/>
      </w:pPr>
      <w:r>
        <w:t xml:space="preserve">Scalable Backend Layer</w:t>
      </w:r>
    </w:p>
    <w:p>
      <w:pPr>
        <w:pStyle w:val="BodyText"/>
      </w:pPr>
      <w:r>
        <w:t xml:space="preserve">The backend layer is built entirely from managed, scalable AWS primitives rather than a hand-rolled server, following the queue-based load-levelling and elastic-compute patterns catalogued for cloud application architecture [8]. Concretely, an Amazon SQS [9] standard queue decouples the fog node's dispatch rate from the backend's processing rate, and an AWS Lambda [10] function, subscribed to that queue via an event-source mapping, is invoked automatically as messages arrive, writing each aggregated window into an Amazon DynamoDB [11] table. This queue-plus-FaaS pairing is a canonical scalability mechanism for exactly this kind of bursty, asynchronous workload,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A commonly raised critique of Lambda-based architectures is cold-start latency: an invocation on a function with no currently warm execution environment incurs an additional initialisation delay before the handler itself runs, a cost documented empirically across commercial FaaS platforms [12], [13]. This is a real cost of the FaaS approach, but is judged acceptable here for two reasons specific to this workload. First, the fog-to-processor path is asynchronous (SQS-triggered), not a user-facing request/response path, so an occasional few-hundred-millisecond cold start delays when a reading is durably stored, not a user-visible page load. Second, the dashboard-facing Lambda function is invoked frequently enough by the live dashboard's own polling that its execution environment rarely goes cold during an active demonstration session. Cold-start latency would be a materially more serious concern for a synchronous, user-facing request on a rarely invoked function, which is not the shape of either Lambda function in this system.</w:t>
      </w:r>
    </w:p>
    <w:p>
      <w:pPr>
        <w:pStyle w:val="BodyText"/>
      </w:pPr>
      <w:r>
        <w:t xml:space="preserve">The DynamoDB table uses sensor_type as its partition key and a composite sort key of the form window_end#site_id as its range key, following partition-key/sort-key design guidance for scaling a managed non-relational store under a sharded workload [14].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 The table itself runs in on-demand (pay-per-request) capacity mode instead of provisioned throughput. This removes the need to forecast a read/write capacity plan for a workload whose volume is not known in advance, at the cost of a marginally higher per-request price than well-forecast provisioned capacity would achieve. At this project's data volume the difference is immaterial, and the operational simplicity of not managing capacity was judged the better trade for a project of this scale.</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backend component still resting on a persistent server instead of a queue or FaaS mechanism, unlike every other component, which undercut the system's own scalability design.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First, Amazon CloudFront is unavailable in this account, including read-only operations, so the S3 bucket is served over its own virtual-hosted-style HTTPS endpoint rather than through a CloudFront distribution. Second, public, unauthenticated AWS Lambda Function URLs are also blocked; this was confirmed by a successful authenticated invocation of the same function returning a Forbidden response when invoked through its Function URL. Amazon API Gateway [15]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Neither is ever reached directly by a browser, so the campus-network restriction that motivated moving the dashboard does not apply to them.</w:t>
      </w:r>
    </w:p>
    <w:p>
      <w:pPr>
        <w:pStyle w:val="Heading2"/>
      </w:pPr>
      <w:r>
        <w:t xml:space="preserve">Deployment Topology</w:t>
      </w:r>
    </w:p>
    <w:p>
      <w:pPr>
        <w:pStyle w:val="BodyText"/>
        <w:sectPr w:rsidR="00AA1001" w:rsidSect="003B4E04">
          <w:type w:val="continuous"/>
          <w:footerReference w:type="default" r:id="rId8"/>
          <w:pgSz w:w="595.30pt" w:h="841.90pt" w:code="9"/>
          <w:pgMar w:top="54pt" w:right="45.35pt" w:bottom="72pt" w:left="45.35pt" w:header="36pt" w:footer="36pt" w:gutter="0pt"/>
          <w:cols w:num="2" w:space="18pt"/>
          <w:docGrid w:linePitch="360"/>
        </w:sectPr>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the first Lambda function's own metadata, and the fog node's health and threshold endpoints)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486400" cy="35713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0"/>
                    <a:stretch>
                      <a:fillRect/>
                    </a:stretch>
                  </pic:blipFill>
                  <pic:spPr>
                    <a:xfrm>
                      <a:off x="0" y="0"/>
                      <a:ext cx="5486400" cy="3571359"/>
                    </a:xfrm>
                    <a:prstGeom prst="rect">
                      <a:avLst/>
                    </a:prstGeom>
                  </pic:spPr>
                </pic:pic>
              </a:graphicData>
            </a:graphic>
          </wp:inline>
        </w:drawing>
      </w:r>
    </w:p>
    <w:p>
      <w:pPr>
        <w:pStyle w:val="figurecaption"/>
        <w:sectPr w:rsidR="00AA1002" w:rsidSect="003B4E04">
          <w:type w:val="continuous"/>
          <w:footerReference w:type="default" r:id="rId8"/>
          <w:pgSz w:w="595.30pt" w:h="841.90pt" w:code="9"/>
          <w:pgMar w:top="54pt" w:right="45.35pt" w:bottom="72pt" w:left="45.35pt" w:header="36pt" w:footer="36pt" w:gutter="0pt"/>
          <w:cols w:space="18pt"/>
          <w:docGrid w:linePitch="360"/>
        </w:sectPr>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rather than by default. A single monolithic EC2 instance running the fog node, the processor, and the dashboard together, with no queue at all, was rejected. It would collapse the backend into exactly the single point of failure and fixed-capacity server that a scalable, queue-based, FaaS-driven design is meant to avoid: a burst of sensor traffic would compete directly with dashboard requests for the same process's CPU and event loop, instead of being absorbed by a queue.</w:t>
      </w:r>
    </w:p>
    <w:p>
      <w:pPr>
        <w:pStyle w:val="BodyText"/>
      </w:pPr>
      <w:r>
        <w:t xml:space="preserve">Amazon Kinesis Data Streams was considered in place of SQS as the fog-to-backend transport, a choice of the same general kind as selecting between messaging protocols in the wider IoT literature [16]. Kinesis is the more natural choice when multiple independent consumers must each read the full stream, or when strict, per-shard ordering is required. This system has exactly one consumer (the processor Lambda) and no ordering requirement across sensor types or districts. SQS's simpler competing-consumer queue model, its lower cost at this data volume, and its native, zero-configuration Lambda event-source-mapping integration together made it the better-justified choice for this specific workload, rather than a default one.</w:t>
      </w:r>
    </w:p>
    <w:p>
      <w:pPr>
        <w:pStyle w:val="BodyText"/>
      </w:pPr>
      <w:r>
        <w:t xml:space="preserve">Amazon RDS (a managed relational database) was considered in place of DynamoDB. A relational schema was rejected because the access pattern here is a narrow, well-known set of key-based lookups (by sensor type and by a time-ordered range within a site) rather than ad-hoc relational queries across normalised tables, which is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windowed fog buffer both map awkwardly onto Lambda's stateless, time-limited invocation model, without a redesign of the buffering logic itself. This project's cloud-deployment scope is also limited to the backend layer, not the sensor and fog layer. Pursuing this conversion was judged to be a larger redesign than the remaining project time justified, and is recorded as future work in Section V rather than attempted partially.</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fog's own health and threshold endpoints (port 8100), which the dashboard's Lambda function needs to reach, and it exposes only read-only, non-sensitive status information rather than data or control-plane access. An earlier, now-decommissioned rule for the original EC2-hosted dashboard's port was identified as a stale, unused opening during a later verification pass and was revoked.</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an actual limitation, not a design preference: in a production account, the processor and dashboard-API functions would each hold their own least-privilege role, consistent with established access-control models for cloud computing [17] (the processor needing only sqs:ReceiveMessage/DeleteMessage and dynamodb:PutItem; the dashboard API needing only read-oriented DynamoDB, SQS, and Lambda-metadata actions). This gap is recorded honestly here rather than glossed over. The dashboard's own REST API is intentionally unauthenticated, since it exposes only aggregated, non-personal environmental sensor readings for a municipal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[18],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not loaded from a content-delivery network so the page has no third-party runtime dependency. Local development and continuous integration both use Docker Compose [19] together with LocalStack [20], an open-source AWS cloud emulator, applying the same container-based reproducibility principle used more broadly in cloud deployment [21]. This means the same SQS, DynamoDB, and Lambda interactions used in production can be exercised without touching a real AWS account during day-to-day development.</w:t>
      </w:r>
    </w:p>
    <w:p>
      <w:pPr>
        <w:pStyle w:val="BodyText"/>
      </w:pPr>
      <w:r>
        <w:t xml:space="preserve">Choosing Node.js consistently across all four components, as opposed to a different language per layer, was a deliberate simplification: it means the fake-AWS-client test-double pattern described in Section III-B, the credential-resolution logic whose bug is described in Section III-D, and the general project structure are shared idioms across the whole codebase rather than four separately maintained conventions. The trade-off accepted is that Node's single-threaded event loop is not the best fit for CPU-bound work; this project has none, since aggregation over a small, bounded per-window reading count and JSON serialisation are both cheap relative to the I/O-bound work (HTTP requests, AWS SDK calls) that dominates every component's actual running time, so the trade-off costs nothing in practice for this specific workload.</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A fake DynamoDB client, for example, is a plain object exposing only a send(command) method; a test constructs it to return a fixed set of items for a QueryCommand and then asserts that the processor's handler produced exactly the DynamoDB item shape expected, including the sort_key value, without any real network call or a general-purpose mocking framework standing between the test and the code under test.</w:t>
      </w:r>
    </w:p>
    <w:p>
      <w:pPr>
        <w:pStyle w:val="BodyText"/>
      </w:pPr>
      <w:r>
        <w:t xml:space="preserve">Beyond unit tests, a load-testing script bursts a configurable number of synthetic messages directly onto the real queue. It makes two assertions: first, that the queue depth is non-zero immediately after the burst, proving the messages genuinely reached SQS rather than being silently dropped; second, that the queue depth has either fully drained or measurably decreased within a timeout window. This second, timeout-tolerant check allows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 All four modules' test suites, 115 tests in total, pass against both the LocalStack-backed development environment and, where applicable, the real AWS deployment.</w:t>
      </w:r>
    </w:p>
    <w:p>
      <w:pPr>
        <w:pStyle w:val="Heading2"/>
      </w:pPr>
      <w:r>
        <w:t xml:space="preserve">Continuous Integration and Deployment</w:t>
      </w:r>
    </w:p>
    <w:p>
      <w:pPr>
        <w:pStyle w:val="BodyText"/>
      </w:pPr>
      <w:r>
        <w:t xml:space="preserve">A GitHub Actions workflow runs the full automated test suite for all four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back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rather than accepting them as plain workflow inputs, and verifies that the credentials resolve to the expected AWS account before doing anything else. Only then does it start the instance, wait for its Systems Manager agent to register, and re-verify that fog is reachable both directly and through the dashboard API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so that the backend was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fog,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each fix was redeployed to the real Lambda functions and confirmed via a genuine, successful end-to-end invocation (a real DynamoDB write following the credential fix, a real 200 response through API Gateway following the header and permission fixes), rather than trusted from the unit test suite alone. The source code, including the fixes described above, is available at [GitHub repository URL],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115 tests pass against both the LocalStack-backed development environment and, for the parts of the suite that exercise real client-construction logic, the fixes verified against the real AWS deployment described in Section III-D.</w:t>
      </w:r>
    </w:p>
    <w:p>
      <w:pPr>
        <w:pStyle w:val="tablehead"/>
      </w:pPr>
      <w:r>
        <w:t xml:space="preserve">Automated Test Suite by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50"/>
        <w:gridCol w:w="650"/>
        <w:gridCol w:w="2350"/>
      </w:tblGrid>
      <w:tr>
        <w:tc>
          <w:tcPr>
            <w:tcW w:w="1650" w:type="dxa"/>
          </w:tcPr>
          <w:p>
            <w:pPr>
              <w:pStyle w:val="tablecolhead"/>
            </w:pPr>
            <w:r>
              <w:t xml:space="preserve">Module</w:t>
            </w:r>
          </w:p>
        </w:tc>
        <w:tc>
          <w:tcPr>
            <w:tcW w:w="650" w:type="dxa"/>
          </w:tcPr>
          <w:p>
            <w:pPr>
              <w:pStyle w:val="tablecolhead"/>
            </w:pPr>
            <w:r>
              <w:t xml:space="preserve">Tests</w:t>
            </w:r>
          </w:p>
        </w:tc>
        <w:tc>
          <w:tcPr>
            <w:tcW w:w="2350" w:type="dxa"/>
          </w:tcPr>
          <w:p>
            <w:pPr>
              <w:pStyle w:val="tablecolhead"/>
            </w:pPr>
            <w:r>
              <w:t xml:space="preserve">Focus</w:t>
            </w:r>
          </w:p>
        </w:tc>
      </w:tr>
      <w:tr>
        <w:tc>
          <w:tcPr>
            <w:tcW w:w="1650" w:type="dxa"/>
          </w:tcPr>
          <w:p>
            <w:pPr>
              <w:pStyle w:val="tablecopy"/>
            </w:pPr>
            <w:r>
              <w:t xml:space="preserve">sensors</w:t>
            </w:r>
          </w:p>
        </w:tc>
        <w:tc>
          <w:tcPr>
            <w:tcW w:w="650" w:type="dxa"/>
          </w:tcPr>
          <w:p>
            <w:pPr>
              <w:pStyle w:val="tablecopy"/>
            </w:pPr>
            <w:r>
              <w:t xml:space="preserve">19</w:t>
            </w:r>
          </w:p>
        </w:tc>
        <w:tc>
          <w:tcPr>
            <w:tcW w:w="2350" w:type="dxa"/>
          </w:tcPr>
          <w:p>
            <w:pPr>
              <w:pStyle w:val="tablecopy"/>
            </w:pPr>
            <w:r>
              <w:t xml:space="preserve">sampling/dispatch interval independence</w:t>
            </w:r>
          </w:p>
        </w:tc>
      </w:tr>
      <w:tr>
        <w:tc>
          <w:tcPr>
            <w:tcW w:w="1650" w:type="dxa"/>
          </w:tcPr>
          <w:p>
            <w:pPr>
              <w:pStyle w:val="tablecopy"/>
            </w:pPr>
            <w:r>
              <w:t xml:space="preserve">fog</w:t>
            </w:r>
          </w:p>
        </w:tc>
        <w:tc>
          <w:tcPr>
            <w:tcW w:w="650" w:type="dxa"/>
          </w:tcPr>
          <w:p>
            <w:pPr>
              <w:pStyle w:val="tablecopy"/>
            </w:pPr>
            <w:r>
              <w:t xml:space="preserve">46</w:t>
            </w:r>
          </w:p>
        </w:tc>
        <w:tc>
          <w:tcPr>
            <w:tcW w:w="2350" w:type="dxa"/>
          </w:tcPr>
          <w:p>
            <w:pPr>
              <w:pStyle w:val="tablecopy"/>
            </w:pPr>
            <w:r>
              <w:t xml:space="preserve">windowed aggregation, alerting, dispatch</w:t>
            </w:r>
          </w:p>
        </w:tc>
      </w:tr>
      <w:tr>
        <w:tc>
          <w:tcPr>
            <w:tcW w:w="1650" w:type="dxa"/>
          </w:tcPr>
          <w:p>
            <w:pPr>
              <w:pStyle w:val="tablecopy"/>
            </w:pPr>
            <w:r>
              <w:t xml:space="preserve">backend/processor</w:t>
            </w:r>
          </w:p>
        </w:tc>
        <w:tc>
          <w:tcPr>
            <w:tcW w:w="650" w:type="dxa"/>
          </w:tcPr>
          <w:p>
            <w:pPr>
              <w:pStyle w:val="tablecopy"/>
            </w:pPr>
            <w:r>
              <w:t xml:space="preserve">11</w:t>
            </w:r>
          </w:p>
        </w:tc>
        <w:tc>
          <w:tcPr>
            <w:tcW w:w="2350" w:type="dxa"/>
          </w:tcPr>
          <w:p>
            <w:pPr>
              <w:pStyle w:val="tablecopy"/>
            </w:pPr>
            <w:r>
              <w:t xml:space="preserve">DynamoDB item shape, sort-key logic</w:t>
            </w:r>
          </w:p>
        </w:tc>
      </w:tr>
      <w:tr>
        <w:tc>
          <w:tcPr>
            <w:tcW w:w="1650" w:type="dxa"/>
          </w:tcPr>
          <w:p>
            <w:pPr>
              <w:pStyle w:val="tablecopy"/>
            </w:pPr>
            <w:r>
              <w:t xml:space="preserve">backend/dashboard</w:t>
            </w:r>
          </w:p>
        </w:tc>
        <w:tc>
          <w:tcPr>
            <w:tcW w:w="650" w:type="dxa"/>
          </w:tcPr>
          <w:p>
            <w:pPr>
              <w:pStyle w:val="tablecopy"/>
            </w:pPr>
            <w:r>
              <w:t xml:space="preserve">39</w:t>
            </w:r>
          </w:p>
        </w:tc>
        <w:tc>
          <w:tcPr>
            <w:tcW w:w="2350" w:type="dxa"/>
          </w:tcPr>
          <w:p>
            <w:pPr>
              <w:pStyle w:val="tablecopy"/>
            </w:pPr>
            <w:r>
              <w:t xml:space="preserve">REST routes, health/priority logic</w:t>
            </w:r>
          </w:p>
        </w:tc>
      </w:tr>
    </w:tbl>
    <w:p>
      <w:pPr>
        <w:pStyle w:val="Heading2"/>
      </w:pPr>
      <w:r>
        <w:t xml:space="preserve">Live Load Test</w:t>
      </w:r>
    </w:p>
    <w:p>
      <w:pPr>
        <w:pStyle w:val="BodyText"/>
      </w:pPr>
      <w:r>
        <w:t xml:space="preserve">A burst load test sent 300 synthetic messages directly to the real, deployed swm-district-agg queue in 6.15 seconds (approximately 49 messages per second), well above the sustained rate any single collection district's sensors would realistically produce. The queue depth was confirmed non-zero immediately after the burst. On this run, the real swm-processor Lambda drained the entire burst before the follow-up check even ran, evidence of real elastic throughput on the deployed system and not a simulated result. LocalStack's own single-container Lambda executor was measurably slower at equivalent burst sizes during local development, which is why the load test's own drain assertion is a soft, timeout-tolerant check rather than a hard one.</w:t>
      </w:r>
    </w:p>
    <w:p>
      <w:pPr>
        <w:pStyle w:val="Heading2"/>
      </w:pPr>
      <w:r>
        <w:t xml:space="preserve">Live Deployment Health</w:t>
      </w:r>
    </w:p>
    <w:p>
      <w:pPr>
        <w:pStyle w:val="BodyText"/>
      </w:pPr>
      <w:r>
        <w:t xml:space="preserve">Polling the deployed dashboard's own /api/health endpoint twice, fifteen seconds apart, returned freshest_age_seconds of 0.136 and 6.915 respectively and items_in_table counts of 4083 and 4093, both moving as expected of a genuinely live, continuously updating pipeline rather than static or cached data. All AWS resources (the DynamoDB table, the SQS queue, both Lambda functions, the API Gateway API, and the EC2 instance) were independently confirmed healthy via direct AWS CLI calls, not merely trusted from the application's own self-reported status.</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w:t>
      </w:r>
    </w:p>
    <w:p>
      <w:pPr>
        <w:pStyle w:val="Heading2"/>
      </w:pPr>
      <w:r>
        <w:t xml:space="preserve">Limitations</w:t>
      </w:r>
    </w:p>
    <w:p>
      <w:pPr>
        <w:pStyle w:val="BodyText"/>
      </w:pPr>
      <w:r>
        <w:t xml:space="preserve">Three limitations of this evaluation are worth stating explicitly instead of leaving them implicit. First, the fog and sensor tier still runs on a single EC2 instance and therefore remains a single point of failure for that tier specifically, even though the backend behind it is fully redundant AWS-managed infrastructure; the critical analysis in Section II-E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instead of two least-privilege roles, a constraint of the Learner Lab account and not a deliberate security design, as discussed in Section II-F; this is an actual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smart waste management, with a configurable sensor and fog layer, a scalable cloud backend, and real-world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Three defects were discovered during the real AWS deployment: the credential-handling bug, the Lambda response-format bug, and the API Gateway permission gap. Each passed the full local test suite and a full LocalStack-backed integration test cleanly, and would have shipped undetected had the project stopped at the local-simulation stage. This directly reinforces the broader principle that each layer should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T. Anagnostopoulos, A. Zaslavsky, K. Kolomvatsos, A. Medvedev, P. Amirian, J. G. Morley, and S. Hadjiefthymiades, “Challenges and opportunities of waste management in IoT-enabled smart cities: A survey,” IEEE Transactions on Sustainable Computing, vol. 2, no. 3, pp. 275–289, 2017.</w:t>
      </w:r>
    </w:p>
    <w:p>
      <w:pPr>
        <w:pStyle w:val="references"/>
        <w:ind w:start="17.70pt" w:hanging="17.70pt"/>
      </w:pPr>
      <w:r>
        <w:t xml:space="preserve">F. Folianto, Y. S. Low, and W. L. Yeow, “Smartbin: Smart waste management system,” in Proc. 2015 IEEE Tenth Int. Conf. Intelligent Sensors, Sensor Networks and Information Processing (ISSNIP), Singapore, 2015, pp. 1–2.</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W. Shi, J. Cao, Q. Zhang, Y. Li, and L. Xu, “Edge computing: Vision and challenges,” IEEE Internet of Things Journal, vol. 3, no. 5, pp. 637–646, Oct. 2016.</w:t>
      </w:r>
    </w:p>
    <w:p>
      <w:pPr>
        <w:pStyle w:val="references"/>
        <w:ind w:start="17.70pt" w:hanging="17.70pt"/>
      </w:pPr>
      <w:r>
        <w:t xml:space="preserve">M. Satyanarayanan, “The emergence of edge computing,” IEEE Computer, vol. 50, no. 1, pp. 30–39, Jan. 2017.</w:t>
      </w:r>
    </w:p>
    <w:p>
      <w:pPr>
        <w:pStyle w:val="references"/>
        <w:ind w:start="17.70pt" w:hanging="17.70pt"/>
      </w:pPr>
      <w:r>
        <w:t xml:space="preserve">Amazon Web Services, “AWS Well-Architected Framework,” Amazon Web Services, Inc. [Online]. Available: https://aws.amazon.com/architecture/well-architected/ (accessed Jul. 2026).</w:t>
      </w:r>
    </w:p>
    <w:p>
      <w:pPr>
        <w:pStyle w:val="references"/>
        <w:ind w:start="17.70pt" w:hanging="17.70pt"/>
      </w:pPr>
      <w:r>
        <w:t xml:space="preserve">C. Fehling, F. Leymann, R. Retter, W. Schupeck, and P. Arbitter, Cloud Computing Patterns: Fundamentals to Design, Build, and Manage Cloud Applications. Vienna, Austria: Springer, 2014.</w:t>
      </w:r>
    </w:p>
    <w:p>
      <w:pPr>
        <w:pStyle w:val="references"/>
        <w:ind w:start="17.70pt" w:hanging="17.70pt"/>
      </w:pPr>
      <w:r>
        <w:t xml:space="preserve">Amazon Web Services, “Amazon Simple Queue Service Developer Guide,” Amazon Web Services, Inc. [Online]. Available: https://docs.aws.amazon.com/sqs/ (accessed Jul. 2026).</w:t>
      </w:r>
    </w:p>
    <w:p>
      <w:pPr>
        <w:pStyle w:val="references"/>
        <w:ind w:start="17.70pt" w:hanging="17.70pt"/>
      </w:pPr>
      <w:r>
        <w:t xml:space="preserve">Amazon Web Services, “AWS Lambda Developer Guide,” Amazon Web Services, Inc. [Online]. Available: https://docs.aws.amazon.com/lambda/ (accessed Jul. 2026).</w:t>
      </w:r>
    </w:p>
    <w:p>
      <w:pPr>
        <w:pStyle w:val="references"/>
        <w:ind w:start="17.70pt" w:hanging="17.70pt"/>
      </w:pPr>
      <w:r>
        <w:t xml:space="preserve">Amazon Web Services, “Amazon DynamoDB Developer Guide,” Amazon Web Services, Inc. [Online]. Available: https://docs.aws.amazon.com/dynamodb/ (accessed Jul. 2026).</w:t>
      </w:r>
    </w:p>
    <w:p>
      <w:pPr>
        <w:pStyle w:val="references"/>
        <w:ind w:start="17.70pt" w:hanging="17.70pt"/>
      </w:pPr>
      <w:r>
        <w:t xml:space="preserve">G. Adzic and R. Chatley, “Serverless computing: Economic and architectural impact,” in Proc. 2017 11th Joint Meeting on Foundations of Software Engineering (ESEC/FSE), Paderborn, Germany, 2017, pp. 884–889.</w:t>
      </w:r>
    </w:p>
    <w:p>
      <w:pPr>
        <w:pStyle w:val="references"/>
        <w:ind w:start="17.70pt" w:hanging="17.70pt"/>
      </w:pPr>
      <w:r>
        <w:t xml:space="preserve">L. Wang, M. Li, Y. Zhang, T. Ristenpart, and M. M. Swift, “Peeking behind the curtains of serverless platforms,” in Proc. 2018 USENIX Annual Technical Conference (USENIX ATC), 2018, pp. 133–146.</w:t>
      </w:r>
    </w:p>
    <w:p>
      <w:pPr>
        <w:pStyle w:val="references"/>
        <w:ind w:start="17.70pt" w:hanging="17.70pt"/>
      </w:pPr>
      <w:r>
        <w:t xml:space="preserve">S. Sivasubramanian, “Amazon DynamoDB: A seamlessly scalable non-relational database service,” in Proc. 2012 ACM SIGMOD Int. Conf. Management of Data, 2012, pp. 729–730.</w:t>
      </w:r>
    </w:p>
    <w:p>
      <w:pPr>
        <w:pStyle w:val="references"/>
        <w:ind w:start="17.70pt" w:hanging="17.70pt"/>
      </w:pPr>
      <w:r>
        <w:t xml:space="preserve">Amazon Web Services, “Amazon API Gateway Developer Guide,” Amazon Web Services, Inc. [Online]. Available: https://docs.aws.amazon.com/apigateway/ (accessed Jul. 2026).</w:t>
      </w:r>
    </w:p>
    <w:p>
      <w:pPr>
        <w:pStyle w:val="references"/>
        <w:ind w:start="17.70pt" w:hanging="17.70pt"/>
      </w:pPr>
      <w:r>
        <w:t xml:space="preserve">N. Naik, “Choice of effective messaging protocols for IoT systems: MQTT, CoAP, AMQP and HTTP,” in Proc. 2017 IEEE Int. Systems Engineering Symposium (ISSE), Vienna, Austria, 2017, pp. 1–7.</w:t>
      </w:r>
    </w:p>
    <w:p>
      <w:pPr>
        <w:pStyle w:val="references"/>
        <w:ind w:start="17.70pt" w:hanging="17.70pt"/>
      </w:pPr>
      <w:r>
        <w:t xml:space="preserve">R. Aluvalu and L. Muddana, “A survey on access control models in cloud computing,” in Emerging ICT for Bridging the Future: Proc. 49th Annual Convention of the Computer Society of India (CSI), vol. 1, Springer, Cham, 2015, pp. 653–664.</w:t>
      </w:r>
    </w:p>
    <w:p>
      <w:pPr>
        <w:pStyle w:val="references"/>
        <w:ind w:start="17.70pt" w:hanging="17.70pt"/>
      </w:pPr>
      <w:r>
        <w:t xml:space="preserve">OpenJS Foundation, “Node.js Documentation.” [Online]. Available: https://nodejs.org/docs/ (accessed Jul. 2026).</w:t>
      </w:r>
    </w:p>
    <w:p>
      <w:pPr>
        <w:pStyle w:val="references"/>
        <w:ind w:start="17.70pt" w:hanging="17.70pt"/>
      </w:pPr>
      <w:r>
        <w:t xml:space="preserve">Docker Inc., “Docker Compose overview,” Docker Documentation. [Online]. Available: https://docs.docker.com/compose/ (accessed Jul. 2026).</w:t>
      </w:r>
    </w:p>
    <w:p>
      <w:pPr>
        <w:pStyle w:val="references"/>
        <w:ind w:start="17.70pt" w:hanging="17.70pt"/>
      </w:pPr>
      <w:r>
        <w:t xml:space="preserve">LocalStack, “LocalStack Documentation.” [Online]. Available: https://docs.localstack.cloud/ (accessed Jul. 2026).</w:t>
      </w:r>
    </w:p>
    <w:p>
      <w:pPr>
        <w:pStyle w:val="references"/>
        <w:ind w:start="17.70pt" w:hanging="17.70pt"/>
      </w:pPr>
      <w:r>
        <w:t xml:space="preserve">D. Bernstein, “Containers and cloud: From LXC to Docker to Kubernetes,” IEEE Cloud Computing, vol. 1, no. 3, pp. 81–84, 2014.</w:t>
      </w:r>
    </w:p>
    <w:sectPr w:rsidR="009303D9" w:rsidSect="003B4E04">
      <w:type w:val="continuous"/>
      <w:footerReference w:type="default" r: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0"/>
      <w:szCs w:val="40"/>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Fog Architecture for Smart Waste Management</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Fog Architecture for Smart Waste Management</dc:title>
  <dc:subject/>
  <dc:creator>Gundeti Sachin Reddy</dc:creator>
  <cp:keywords/>
  <cp:lastModifiedBy>Gundeti Sachin Reddy</cp:lastModifiedBy>
  <cp:revision>2</cp:revision>
  <dcterms:created xsi:type="dcterms:W3CDTF">2024-07-16T13:42:00Z</dcterms:created>
  <dcterms:modified xsi:type="dcterms:W3CDTF">2024-07-16T13:42:00Z</dcterms:modified>
</cp:coreProperties>
</file>