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National College of Ireland</w:t>
      </w:r>
      <w:r>
        <w:br/>
        <w:t xml:space="preserve">Dublin, Ireland</w:t>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the module's function-as-a-service scalability criterion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built as an individual assignment for the Fog and Edge Computing (H9FECC) module. The brief for this coursework required three things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satisfying the brief's requirement that generation frequency and dispatch rate be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one of the scalability mechanisms the brief explicitly names as an example,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piece of the “scalable backend” requirement still resting on a persistent server rather than on a queue or FaaS mechanism, unlike every other backend component.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the brief's “scalable... queues, FaaS, autoscaling” language is written to move away from: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The brief's cloud-deployment requirement is also explicitly scoped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satisfying the brief's requirement that the backend be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satisfying the module brief's requirements for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module's own assessment criterion that each layer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sectPr w:rsidR="009303D9" w:rsidSect="003B4E04">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