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Marine Vessel Monitoring on AWS</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defect—every static asset on the deployed dashboard 404ing—was found only once the live page was opened in an actual browser, not merely queried through its API. What follows lays out that architecture, the paths not taken and why, and the proof gathered by putting the running system itself to the test.</w:t>
      </w:r>
    </w:p>
    <w:p>
      <w:pPr>
        <w:pStyle w:val="Keywords"/>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range—for example engine room temperature steps by up to 4.0 degC across a 20-90 degC range, hull vibration by up to 1.5 mm/s across 0-20 mm/s—so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assertions—bounded random-walk clamping at each profile's lo/hi limits, and the two independently configurable SAMPLE_INTERVAL/DISPATCH_INTERVAL knobs—run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clients—where the pagination and batching fixes live—has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resources—the EC2 instance, both Lambda functions, the SQS queue, the DynamoDB table, and the API Gateway API—were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thing—an actual AWS account in the first case, an actual browser rendering the actual page in the second—and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rewrite—off its one continuously running EC2 instance and onto a scheduled-Lambda, fully event-driven model—alongside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Marine Vessel Monitoring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Marine Vessel Monitoring on AWS</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