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Fleet on the Floor: A Fog-to-Cloud Pipeline for Robotics Health Monitoring</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robot—battery level, payload weight, motor temperature, position drift and task-queue depth—through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apply—the first deployment in this portfolio built that way—and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channels—battery_level_pct, payload_kg, motor_temp_c, position_drift_cm and task_queue_depth—and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containers—five sensor types across two zones—generate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work—windowing, threshold evaluation, batching—instead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real—an actual deployment to AWS rather than a description of one. A further requirement, specific to this shared portfolio, was that the project's internal design—concurrency handling, alert-rule representation, JSON handling, HTTP routing—be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rates—SAMPLE_INTERVAL controls how often a new reading is generated, DISPATCH_INTERVAL how often a batch of readings is pushed to the fog gateway—so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design—a sort key disambiguated by window_end and site_id, adapted from the pattern already established elsewhere in this portfolio—follows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aggregate—the difference this project's own load test, described in Section IV, was built to demonstrate.</w:t>
      </w:r>
    </w:p>
    <w:p>
      <w:pPr>
        <w:pStyle w:val="BodyText"/>
      </w:pPr>
      <w:r>
        <w:t xml:space="preserve">This project shares its overall pipeline shape—fog to queue to Lambda to DynamoDB, queried by a second Lambda behind API Gateway—with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Amber dotted spokes mark wrf-dashboard-api's four real read dependencies.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for—DynamoWriteSpy, FleetReadingsTable, ProcessorStatusStub, RelayQueueStub, RelaySqsSpy—in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turn—sensors, fog, backend/processor and backend/dashboard—so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PipelineChecksTest—which specifically exercises the multi-page Scan-pagination fix described in Section V—FleetDashboardLambdaTest,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tablecaption"/>
      </w:pPr>
      <w:r>
        <w:t xml:space="preserve">TABLE I.</w:t>
      </w:r>
      <w:r>
        <w:t xml:space="preserve">   AUTOMATED TEST SUITE BY MODULE (116 TESTS TOTAL)</w:t>
      </w:r>
    </w:p>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HUD—the roster table with its inline sparklines and LED status indicators, and the detail panel beneath it—renders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conventions—the SQS-to-Lambda-to-DynamoDB shape, the window_end/site_id sort-key scheme, the dashboard health-check pattern and the dual-rate sensor knobs—in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tablecaption"/>
      </w:pPr>
      <w:r>
        <w:t xml:space="preserve">TABLE II.</w:t>
      </w:r>
      <w:r>
        <w:t xml:space="preserve">   LIVE AWS RESOURCES (ACCOUNT 789399341650, US-EAST-1)</w:t>
      </w:r>
    </w:p>
    <w:p>
      <w:pPr>
        <w:pStyle w:val="BodyText"/>
      </w:pPr>
      <w:r>
        <w:t xml:space="preserve"> </w:t>
      </w:r>
    </w:p>
    <w:p>
      <w:pPr>
        <w:pStyle w:val="BodyText"/>
      </w:pPr>
      <w:r>
        <w:t xml:space="preserve">With those four defects corrected, the stack was provisioned in a single terraform apply against the confirmed account—24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Pipeline for Robotics Health Monitoring</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Pipeline for Robotics Health Monitoring</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