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National College of Ireland</w:t>
      </w:r>
      <w:r>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rather than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an overheating bin, a gas build-up, evidence of tampering, undetected between scheduled visits,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rather than streaming every raw reading to the cloud, a pattern surveyed broadly across IoT-enabled smart-city waste systems [13] and demonstrated concretely in fill-level-sensing deployments such as Folianto et al.’s Smartbin [14].</w:t>
      </w:r>
    </w:p>
    <w:p>
      <w:pPr>
        <w:pStyle w:val="BodyText"/>
      </w:pPr>
      <w:r>
        <w:t xml:space="preserve">The National Institute of Standards and Technology defines cloud computing around five essential characteristics, on-demand self-service, broad network access, resource pooling, rapid elasticity, and measured service [9]; fog computing, in turn, is not a rejection of that model but an extension of it. Bonomi et al. define fog computing as a platform that extends cloud services to the edge of the network, characterised by low latency, geographic distribution, and support for a large number of nodes [5], part of the broader edge computing paradigm that more generally relocates computation and storage away from a centralised cloud and toward the data source [11], [12]. This project adopts that definition directly: aggregation and alerting are pushed to a fog node co-located with the sensors, and only reduced, already-meaningful data crosses the network boundary into the cloud proper, rather than a “thin edge, thick cloud” design in which every raw reading is streamed upstream for processing. The cloud-side design decisions in Section II, in turn, are justified against the AWS Well-Architected Framework's operational-excellence, reliability, and cost-optimisation pillars [10],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genuine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rather than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following the queue-based load-levelling and elastic-compute patterns catalogued for cloud application architecture [20]: an Amazon SQS [3] standard queue decouples the fog node's dispatch rate from the backend's processing rate, and an AWS Lambda [1] function, subscribed to that queue via an event-source mapping, is invoked automatically as messages arrive, writing each aggregated window into an Amazon DynamoDB [2]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a cost documented empirically across commercial FaaS platforms [15], [16]. This is a genuine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following partition-key/sort-key design guidance for scaling a managed non-relational store under a sharded workload [17].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rather than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rather than on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[4]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and neither is ever reached directly by a browser, so the campus-network restriction that motivated moving the dashboard does not apply to them.</w:t>
      </w:r>
    </w:p>
    <w:p>
      <w:pPr>
        <w:pStyle w:val="Heading2"/>
      </w:pPr>
      <w:r>
        <w:t xml:space="preserve">Deployment Topology</w:t>
      </w:r>
    </w:p>
    <w:p>
      <w:pPr>
        <w:pStyle w:val="BodyText"/>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401568"/>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401568"/>
                    </a:xfrm>
                    <a:prstGeom prst="rect">
                      <a:avLst/>
                    </a:prstGeom>
                  </pic:spPr>
                </pic:pic>
              </a:graphicData>
            </a:graphic>
          </wp:inline>
        </w:drawing>
      </w:r>
    </w:p>
    <w:p>
      <w:pPr>
        <w:pStyle w:val="figurecaption"/>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rather than being absorbed by a queue.</w:t>
      </w:r>
    </w:p>
    <w:p>
      <w:pPr>
        <w:pStyle w:val="BodyText"/>
      </w:pPr>
      <w:r>
        <w:t xml:space="preserve">Amazon Kinesis Data Streams was considered in place of SQS as the fog-to-backend transport, a choice of the same general kind as selecting between messaging protocols in the wider IoT literature [18].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rather than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 genuine limitation, not a design preference: in a production account, the processor and dashboard-API functions would each hold their own least-privilege role, consistent with established access-control models for cloud computing [21] (the processor needing only sqs:ReceiveMessage/DeleteMessage and dynamodb:PutItem; the dashboard API needing only read-oriented DynamoDB, SQS, and Lambda-metadata actions), and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[7],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[6] together with LocalStack [8], an open-source AWS cloud emulator, applying the same container-based reproducibility principle used more broadly in cloud deployment [19], so the same SQS, DynamoDB, and Lambda interactions used in production can be exercised without touching a real AWS account during day-to-day development.</w:t>
      </w:r>
    </w:p>
    <w:p>
      <w:pPr>
        <w:pStyle w:val="BodyText"/>
      </w:pPr>
      <w:r>
        <w:t xml:space="preserve">Choosing Node.js consistently across all four components, rather than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rather than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rather than trusted from the application's own self-reported status alone.</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rather than left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rather than two least-privilege roles, a constraint of the Learner Lab account rather than a deliberate security design, as discussed in Section II-F; this is a genuine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Every defect discovered during the real AWS deployment, the credential-handling bug, the Lambda response-format bug, and the API Gateway permission gap,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F. Bonomi, R. Milito, J. Zhu, and S. Addepalli, “Fog computing and its role in the Internet of Things,” in Proc. 1st ACM Mobile Cloud Computing Workshop (MCC ’12), Helsinki, Finland, 2012.</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Amazon Web Services, “AWS Well-Architected Framework,” Amazon Web Services, Inc. [Online]. Available: https://aws.amazon.com/architecture/well-architected/ (accessed Jul. 2026).</w:t>
      </w:r>
    </w:p>
    <w:p>
      <w:pPr>
        <w:pStyle w:val="references"/>
        <w:ind w:start="17.70pt" w:hanging="17.70pt"/>
      </w:pPr>
      <w:r>
        <w:t xml:space="preserve">W. Shi, J. Cao, Q. Zhang, Y. Li, and L. Xu, “Edge computing: Vision and challenges,” IEEE Internet of Things Journal, vol. 3, no. 5, pp. 637–646, Oct. 2016.</w:t>
      </w:r>
    </w:p>
    <w:p>
      <w:pPr>
        <w:pStyle w:val="references"/>
        <w:ind w:start="17.70pt" w:hanging="17.70pt"/>
      </w:pPr>
      <w:r>
        <w:t xml:space="preserve">M. Satyanarayanan, “The emergence of edge computing,” IEEE Computer, vol. 50, no. 1, pp. 30–39, Jan. 2017.</w:t>
      </w:r>
    </w:p>
    <w:p>
      <w:pPr>
        <w:pStyle w:val="references"/>
        <w:ind w:start="17.70pt" w:hanging="17.70pt"/>
      </w:pPr>
      <w:r>
        <w:t xml:space="preserve">T. Anagnostopoulos, A. Zaslavsky, K. Kolomvatsos, A. Medvedev, P. Amirian, J. G. Morley, and S. Hadjiefthymiades, “Challenges and opportunities of waste management in IoT-enabled smart cities: A survey,” IEEE Transactions on Sustainable Computing, vol. 2, no. 3, pp. 275–289, 2017.</w:t>
      </w:r>
    </w:p>
    <w:p>
      <w:pPr>
        <w:pStyle w:val="references"/>
        <w:ind w:start="17.70pt" w:hanging="17.70pt"/>
      </w:pPr>
      <w:r>
        <w:t xml:space="preserve">F. Folianto, Y. S. Low, and W. L. Yeow, “Smartbin: Smart waste management system,” in Proc. 2015 IEEE Tenth Int. Conf. Intelligent Sensors, Sensor Networks and Information Processing (ISSNIP), Singapore, 2015.</w:t>
      </w:r>
    </w:p>
    <w:p>
      <w:pPr>
        <w:pStyle w:val="references"/>
        <w:ind w:start="17.70pt" w:hanging="17.70pt"/>
      </w:pPr>
      <w:r>
        <w:t xml:space="preserve">G. Adzic and R. Chatley, “Serverless computing: Economic and architectural impact,” in Proc. 2017 11th Joint Meeting on Foundations of Software Engineering (ESEC/FSE), Paderborn, Germany, 2017, pp. 884–889.</w:t>
      </w:r>
    </w:p>
    <w:p>
      <w:pPr>
        <w:pStyle w:val="references"/>
        <w:ind w:start="17.70pt" w:hanging="17.70pt"/>
      </w:pPr>
      <w:r>
        <w:t xml:space="preserve">L. Wang, M. Li, Y. Zhang, T. Ristenpart, and M. M. Swift, “Peeking behind the curtains of serverless platforms,” in Proc. 2018 USENIX Annual Technical Conference (USENIX ATC), 2018, pp. 133–146.</w:t>
      </w:r>
    </w:p>
    <w:p>
      <w:pPr>
        <w:pStyle w:val="references"/>
        <w:ind w:start="17.70pt" w:hanging="17.70pt"/>
      </w:pPr>
      <w:r>
        <w:t xml:space="preserve">S. Sivasubramanian, “Amazon DynamoDB: A seamlessly scalable non-relational database service,” in Proc. 2012 ACM SIGMOD Int. Conf. Management of Data, 2012, pp. 729–730.</w:t>
      </w:r>
    </w:p>
    <w:p>
      <w:pPr>
        <w:pStyle w:val="references"/>
        <w:ind w:start="17.70pt" w:hanging="17.70pt"/>
      </w:pPr>
      <w:r>
        <w:t xml:space="preserve">N. Naik, “Choice of effective messaging protocols for IoT systems: MQTT, CoAP, AMQP and HTTP,” in Proc. 2017 IEEE Int. Systems Engineering Symposium (ISSE), Vienna, Austria, 2017.</w:t>
      </w:r>
    </w:p>
    <w:p>
      <w:pPr>
        <w:pStyle w:val="references"/>
        <w:ind w:start="17.70pt" w:hanging="17.70pt"/>
      </w:pPr>
      <w:r>
        <w:t xml:space="preserve">D. Bernstein, “Containers and cloud: From LXC to Docker to Kubernetes,” IEEE Cloud Computing, vol. 1, no. 3, pp. 81–84, 2014.</w:t>
      </w:r>
    </w:p>
    <w:p>
      <w:pPr>
        <w:pStyle w:val="references"/>
        <w:ind w:start="17.70pt" w:hanging="17.70pt"/>
      </w:pPr>
      <w:r>
        <w:t xml:space="preserve">C. Fehling, F. Leymann, R. Retter, W. Schupeck, and P. Arbitter, Cloud Computing Patterns: Fundamentals to Design, Build, and Manage Cloud Applications. Vienna, Austria: Springer, 2014.</w:t>
      </w:r>
    </w:p>
    <w:p>
      <w:pPr>
        <w:pStyle w:val="references"/>
        <w:ind w:start="17.70pt" w:hanging="17.70pt"/>
      </w:pPr>
      <w:r>
        <w:t xml:space="preserve">R. Aluvalu and L. Muddana, “A survey on access control models in cloud computing,” in Emerging ICT for Bridging the Future: Proc. 49th Annual Convention of the Computer Society of India (CSI), vol. 1, Springer, Cham, 2015, pp. 653–664.</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