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r>
      <w:r>
        <w:br/>
      </w:r>
      <w:r>
        <w:rPr>
          <w:i/>
          <w:iCs/>
        </w:rPr>
        <w:t xml:space="preserve">Master of Science in Cloud Computing</w:t>
      </w:r>
      <w:r>
        <w:br/>
      </w:r>
      <w:r>
        <w:rPr>
          <w:i/>
          <w:iCs/>
        </w:rPr>
        <w:t xml:space="preserve">National College of Ireland</w:t>
      </w:r>
      <w:r>
        <w:br/>
      </w:r>
      <w:r>
        <w:t xml:space="preserve">Dublin, Ireland</w:t>
      </w:r>
      <w:r>
        <w:br/>
      </w:r>
      <w: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the module's function-as-a-service scalability criterion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odor hazards that are only discovered after the fact.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w:t>
      </w:r>
    </w:p>
    <w:p>
      <w:pPr>
        <w:pStyle w:val="BodyText"/>
      </w:pPr>
      <w:r>
        <w:t xml:space="preserve">This paper documents the design and construction of a fog and edge computing solution for this domain, built as an individual assignment for the Fog and Edge Computing (H9FECC) module. The brief for this coursework required, at minimum: (1) a sensor and fog layer generating data from three to five distinct sensor types with independently configurable sampling and dispatch rates, where the fog node genuinely receives and processes sensor data before dispatching it onward; (2) a scalable backend layer, designed around mechanisms such as queues, function-as-a-service (FaaS), or autoscaling, that processes the fog node's output and exposes a responsive dashboard for the sensor types; and (3)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Section III describes the concrete implementation: the software components and libraries used, the automated test suite, the continuous integration and deployment pipeline, and the real AWS deployment together with the genuine defects it surfaced. Section IV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satisfying the brief's requirement that generation frequency and dispatch rate be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a small set of domain-specific threshold rules (for example, a fill level exceeding a configured percentage raises a collection_needed alert, and an internal temperature exceeding a configured threshold raises a fire_risk_warning),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Heading2"/>
      </w:pPr>
      <w:r>
        <w:t xml:space="preserve">Scalable Backend Layer</w:t>
      </w:r>
    </w:p>
    <w:p>
      <w:pPr>
        <w:pStyle w:val="BodyText"/>
      </w:pPr>
      <w:r>
        <w:t xml:space="preserve">The backend layer is built entirely from managed, scalable AWS primitives rather than a hand-rolled server: an Amazon SQS standard queue decouples the fog node's dispatch rate from the backend's processing rate, and an AWS Lambda function, subscribed to that queue via an event-source mapping, is invoked automatically as messages arrive, writing each aggregated window into an Amazon DynamoDB table. This queue-plus-FaaS pairing is one of the scalability mechanisms the brief explicitly names as an example,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The DynamoDB table uses sensor_type as its partition key and a composite sort key of the form window_end#site_id as its range key.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piece of the “scalable backend” requirement still resting on a persistent server rather than on a queue or FaaS mechanism, unlike every other backend component.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Amazon CloudFront is unavailable in this account, including read-only operations, so the S3 bucket is served over its own virtual-hosted-style HTTPS endpoint rather than through a CloudFront distribution; and public, unauthenticated AWS Lambda Function URLs are also blocked, confirmed by a successful authenticated invocation of the same function returning a Forbidden response when invoked through its Function URL. Amazon API Gateway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This topology places every backend component except the sensor and fog tier behind a managed, serverless service boundary.</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together with LocalStack, an open-source AWS cloud emulator, so the same SQS, DynamoDB, and Lambda interactions used in production can be exercised without touching a real AWS account during day-to-day development.</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Beyond unit tests, a load-testing script bursts a configurable number of synthetic messages directly onto the real queue and asserts, first, that the queue depth is non-zero immediately after the burst (proving the messages genuinely reached SQS rather than being silently dropped), and second, that the queue depth has either fully drained or measurably decreased within a timeout window, allowing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w:t>
      </w:r>
    </w:p>
    <w:p>
      <w:pPr>
        <w:pStyle w:val="Heading2"/>
      </w:pPr>
      <w:r>
        <w:t xml:space="preserve">Continuous Integration and Deployment</w:t>
      </w:r>
    </w:p>
    <w:p>
      <w:pPr>
        <w:pStyle w:val="BodyText"/>
      </w:pPr>
      <w:r>
        <w:t xml:space="preserve">A GitHub Actions workflow runs the full automated test suite for all four modules, then brings the entire stack up with Docker Compose against LocalStack and exercises the live pipeline end-to-end, on every push to the repository. A second, separately triggered GitHub Actions workflow exists specifically to restart the EC2-hosted fog and sensor tier after an AWS Academy Learner Lab session ends and a fresh one begins, since the Learner Lab platform stops the EC2 instance between sessions; this workflow reads its AWS credentials from encrypted GitHub repository secrets rather than accepting them as plain workflow inputs, verifies that the credentials resolve to the expected AWS account before doing anything else, and only then restarts the instance and re-verifies the pipeline.</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satisfying the brief's requirement that the backend be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including a live fault-injection check in which the underlying dependency was deliberately made unavailable to confirm the fix degrades gracefully rather than merely passing under normal conditions.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Conclusion</w:t>
      </w:r>
    </w:p>
    <w:p>
      <w:pPr>
        <w:pStyle w:val="BodyText"/>
      </w:pPr>
      <w:r>
        <w:t xml:space="preserve">This project set out to build a complete fog and edge computing pipeline for smart waste management, satisfying the module brief's requirements for a configurable sensor and fog layer, a scalable cloud backend, and genuine deployment and testing on a public cloud platform, and to critically analyse the architectural decisions taken at each layer.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module's own assessment criterion that each layer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w:t>
      </w:r>
    </w:p>
    <w:p>
      <w:pPr>
        <w:pStyle w:val="references"/>
        <w:ind w:start="17.70pt" w:hanging="17.70pt"/>
      </w:pPr>
      <w:r>
        <w:t xml:space="preserve">Amazon Web Services, “Amazon DynamoDB Developer Guide,” Amazon Web Services, Inc. [Online]. Available: https://docs.aws.amazon.com/dynamodb/</w:t>
      </w:r>
    </w:p>
    <w:p>
      <w:pPr>
        <w:pStyle w:val="references"/>
        <w:ind w:start="17.70pt" w:hanging="17.70pt"/>
      </w:pPr>
      <w:r>
        <w:t xml:space="preserve">Amazon Web Services, “Amazon Simple Queue Service Developer Guide,” Amazon Web Services, Inc. [Online]. Available: https://docs.aws.amazon.com/sqs/</w:t>
      </w:r>
    </w:p>
    <w:p>
      <w:pPr>
        <w:pStyle w:val="references"/>
        <w:ind w:start="17.70pt" w:hanging="17.70pt"/>
      </w:pPr>
      <w:r>
        <w:t xml:space="preserve">Amazon Web Services, “Amazon API Gateway Developer Guide,” Amazon Web Services, Inc. [Online]. Available: https://docs.aws.amazon.com/apigateway/</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w:t>
      </w:r>
    </w:p>
    <w:p>
      <w:pPr>
        <w:pStyle w:val="references"/>
        <w:ind w:start="17.70pt" w:hanging="17.70pt"/>
      </w:pPr>
      <w:r>
        <w:t xml:space="preserve">OpenJS Foundation, “Node.js Documentation.” [Online]. Available: https://nodejs.org/docs/</w:t>
      </w:r>
    </w:p>
    <w:p>
      <w:pPr>
        <w:pStyle w:val="references"/>
        <w:ind w:start="17.70pt" w:hanging="17.70pt"/>
      </w:pPr>
      <w:r>
        <w:t xml:space="preserve">LocalStack, “LocalStack Documentation.” [Online]. Available: https://docs.localstack.cloud/</w:t>
      </w:r>
    </w:p>
    <w:sectPr w:rsidR="009303D9" w:rsidSect="003B4E04">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