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44"/>
          <w:szCs w:val="44"/>
        </w:rPr>
        <w:t xml:space="preserve">Automation Execution Report</w:t>
      </w:r>
    </w:p>
    <w:p>
      <w:pPr>
        <w:spacing w:after="300"/>
        <w:jc w:val="center"/>
      </w:pPr>
      <w:r>
        <w:rPr>
          <w:color w:val="555555"/>
          <w:sz w:val="26"/>
          <w:szCs w:val="26"/>
        </w:rPr>
        <w:t xml:space="preserve">Tichi Application – Login &amp; Signup Functionality (Playwright / JavaScript)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c>
          <w:tcPr>
            <w:tcW w:type="dxa" w:w="2400"/>
            <w:shd w:fill="F2F2F2" w:val="clear"/>
            <w:tcMar>
              <w:top w:type="dxa" w:w="90"/>
              <w:left w:type="dxa" w:w="110"/>
              <w:bottom w:type="dxa" w:w="90"/>
              <w:right w:type="dxa" w:w="110"/>
            </w:tcMar>
            <w:vAlign w:val="center"/>
          </w:tcPr>
          <w:p>
            <w:pPr>
              <w:jc w:val="left"/>
            </w:pPr>
            <w:r>
              <w:rPr>
                <w:b/>
                <w:bCs/>
                <w:sz w:val="19"/>
                <w:szCs w:val="19"/>
              </w:rPr>
              <w:t xml:space="preserve">Application Under Test</w:t>
            </w:r>
          </w:p>
        </w:tc>
        <w:tc>
          <w:tcPr>
            <w:tcW w:type="dxa" w:w="6700"/>
            <w:tcMar>
              <w:top w:type="dxa" w:w="90"/>
              <w:left w:type="dxa" w:w="110"/>
              <w:bottom w:type="dxa" w:w="90"/>
              <w:right w:type="dxa" w:w="110"/>
            </w:tcMar>
            <w:vAlign w:val="center"/>
          </w:tcPr>
          <w:p>
            <w:pPr>
              <w:jc w:val="left"/>
            </w:pPr>
            <w:r>
              <w:rPr>
                <w:b w:val="false"/>
                <w:bCs w:val="false"/>
                <w:sz w:val="19"/>
                <w:szCs w:val="19"/>
              </w:rPr>
              <w:t xml:space="preserve">https://tichi-app-webapp-stage.web.app</w:t>
            </w:r>
          </w:p>
        </w:tc>
      </w:tr>
      <w:tr>
        <w:tc>
          <w:tcPr>
            <w:tcW w:type="dxa" w:w="2400"/>
            <w:shd w:fill="F2F2F2" w:val="clear"/>
            <w:tcMar>
              <w:top w:type="dxa" w:w="90"/>
              <w:left w:type="dxa" w:w="110"/>
              <w:bottom w:type="dxa" w:w="90"/>
              <w:right w:type="dxa" w:w="110"/>
            </w:tcMar>
            <w:vAlign w:val="center"/>
          </w:tcPr>
          <w:p>
            <w:pPr>
              <w:jc w:val="left"/>
            </w:pPr>
            <w:r>
              <w:rPr>
                <w:b/>
                <w:bCs/>
                <w:sz w:val="19"/>
                <w:szCs w:val="19"/>
              </w:rPr>
              <w:t xml:space="preserve">Modules Automated</w:t>
            </w:r>
          </w:p>
        </w:tc>
        <w:tc>
          <w:tcPr>
            <w:tcW w:type="dxa" w:w="6700"/>
            <w:tcMar>
              <w:top w:type="dxa" w:w="90"/>
              <w:left w:type="dxa" w:w="110"/>
              <w:bottom w:type="dxa" w:w="90"/>
              <w:right w:type="dxa" w:w="110"/>
            </w:tcMar>
            <w:vAlign w:val="center"/>
          </w:tcPr>
          <w:p>
            <w:pPr>
              <w:jc w:val="left"/>
            </w:pPr>
            <w:r>
              <w:rPr>
                <w:b w:val="false"/>
                <w:bCs w:val="false"/>
                <w:sz w:val="19"/>
                <w:szCs w:val="19"/>
              </w:rPr>
              <w:t xml:space="preserve">Login, Signup</w:t>
            </w:r>
          </w:p>
        </w:tc>
      </w:tr>
      <w:tr>
        <w:tc>
          <w:tcPr>
            <w:tcW w:type="dxa" w:w="2400"/>
            <w:shd w:fill="F2F2F2" w:val="clear"/>
            <w:tcMar>
              <w:top w:type="dxa" w:w="90"/>
              <w:left w:type="dxa" w:w="110"/>
              <w:bottom w:type="dxa" w:w="90"/>
              <w:right w:type="dxa" w:w="110"/>
            </w:tcMar>
            <w:vAlign w:val="center"/>
          </w:tcPr>
          <w:p>
            <w:pPr>
              <w:jc w:val="left"/>
            </w:pPr>
            <w:r>
              <w:rPr>
                <w:b/>
                <w:bCs/>
                <w:sz w:val="19"/>
                <w:szCs w:val="19"/>
              </w:rPr>
              <w:t xml:space="preserve">Tool / Framework</w:t>
            </w:r>
          </w:p>
        </w:tc>
        <w:tc>
          <w:tcPr>
            <w:tcW w:type="dxa" w:w="6700"/>
            <w:tcMar>
              <w:top w:type="dxa" w:w="90"/>
              <w:left w:type="dxa" w:w="110"/>
              <w:bottom w:type="dxa" w:w="90"/>
              <w:right w:type="dxa" w:w="110"/>
            </w:tcMar>
            <w:vAlign w:val="center"/>
          </w:tcPr>
          <w:p>
            <w:pPr>
              <w:jc w:val="left"/>
            </w:pPr>
            <w:r>
              <w:rPr>
                <w:b w:val="false"/>
                <w:bCs w:val="false"/>
                <w:sz w:val="19"/>
                <w:szCs w:val="19"/>
              </w:rPr>
              <w:t xml:space="preserve">Playwright (JavaScript), @playwright/test runner</w:t>
            </w:r>
          </w:p>
        </w:tc>
      </w:tr>
      <w:tr>
        <w:tc>
          <w:tcPr>
            <w:tcW w:type="dxa" w:w="2400"/>
            <w:shd w:fill="F2F2F2" w:val="clear"/>
            <w:tcMar>
              <w:top w:type="dxa" w:w="90"/>
              <w:left w:type="dxa" w:w="110"/>
              <w:bottom w:type="dxa" w:w="90"/>
              <w:right w:type="dxa" w:w="110"/>
            </w:tcMar>
            <w:vAlign w:val="center"/>
          </w:tcPr>
          <w:p>
            <w:pPr>
              <w:jc w:val="left"/>
            </w:pPr>
            <w:r>
              <w:rPr>
                <w:b/>
                <w:bCs/>
                <w:sz w:val="19"/>
                <w:szCs w:val="19"/>
              </w:rPr>
              <w:t xml:space="preserve">Total Test Cases Automated</w:t>
            </w:r>
          </w:p>
        </w:tc>
        <w:tc>
          <w:tcPr>
            <w:tcW w:type="dxa" w:w="6700"/>
            <w:tcMar>
              <w:top w:type="dxa" w:w="90"/>
              <w:left w:type="dxa" w:w="110"/>
              <w:bottom w:type="dxa" w:w="90"/>
              <w:right w:type="dxa" w:w="110"/>
            </w:tcMar>
            <w:vAlign w:val="center"/>
          </w:tcPr>
          <w:p>
            <w:pPr>
              <w:jc w:val="left"/>
            </w:pPr>
            <w:r>
              <w:rPr>
                <w:b w:val="false"/>
                <w:bCs w:val="false"/>
                <w:sz w:val="19"/>
                <w:szCs w:val="19"/>
              </w:rPr>
              <w:t xml:space="preserve">41 (Login: 21 across 17 scenarios, LG-01–LG-22; Signup: 20 across 16 scenarios, SU-01–SU-22)</w:t>
            </w:r>
          </w:p>
        </w:tc>
      </w:tr>
      <w:tr>
        <w:tc>
          <w:tcPr>
            <w:tcW w:type="dxa" w:w="2400"/>
            <w:shd w:fill="F2F2F2" w:val="clear"/>
            <w:tcMar>
              <w:top w:type="dxa" w:w="90"/>
              <w:left w:type="dxa" w:w="110"/>
              <w:bottom w:type="dxa" w:w="90"/>
              <w:right w:type="dxa" w:w="110"/>
            </w:tcMar>
            <w:vAlign w:val="center"/>
          </w:tcPr>
          <w:p>
            <w:pPr>
              <w:jc w:val="left"/>
            </w:pPr>
            <w:r>
              <w:rPr>
                <w:b/>
                <w:bCs/>
                <w:sz w:val="19"/>
                <w:szCs w:val="19"/>
              </w:rPr>
              <w:t xml:space="preserve">Suite Validation</w:t>
            </w:r>
          </w:p>
        </w:tc>
        <w:tc>
          <w:tcPr>
            <w:tcW w:type="dxa" w:w="6700"/>
            <w:tcMar>
              <w:top w:type="dxa" w:w="90"/>
              <w:left w:type="dxa" w:w="110"/>
              <w:bottom w:type="dxa" w:w="90"/>
              <w:right w:type="dxa" w:w="110"/>
            </w:tcMar>
            <w:vAlign w:val="center"/>
          </w:tcPr>
          <w:p>
            <w:pPr>
              <w:jc w:val="left"/>
            </w:pPr>
            <w:r>
              <w:rPr>
                <w:b w:val="false"/>
                <w:bCs w:val="false"/>
                <w:sz w:val="19"/>
                <w:szCs w:val="19"/>
              </w:rPr>
              <w:t xml:space="preserve">All 41 tests successfully discovered via 'npx playwright test --list' with zero syntax/config errors</w:t>
            </w:r>
          </w:p>
        </w:tc>
      </w:tr>
      <w:tr>
        <w:tc>
          <w:tcPr>
            <w:tcW w:type="dxa" w:w="2400"/>
            <w:shd w:fill="F2F2F2" w:val="clear"/>
            <w:tcMar>
              <w:top w:type="dxa" w:w="90"/>
              <w:left w:type="dxa" w:w="110"/>
              <w:bottom w:type="dxa" w:w="90"/>
              <w:right w:type="dxa" w:w="110"/>
            </w:tcMar>
            <w:vAlign w:val="center"/>
          </w:tcPr>
          <w:p>
            <w:pPr>
              <w:jc w:val="left"/>
            </w:pPr>
            <w:r>
              <w:rPr>
                <w:b/>
                <w:bCs/>
                <w:sz w:val="19"/>
                <w:szCs w:val="19"/>
              </w:rPr>
              <w:t xml:space="preserve">Report Date</w:t>
            </w:r>
          </w:p>
        </w:tc>
        <w:tc>
          <w:tcPr>
            <w:tcW w:type="dxa" w:w="6700"/>
            <w:tcMar>
              <w:top w:type="dxa" w:w="90"/>
              <w:left w:type="dxa" w:w="110"/>
              <w:bottom w:type="dxa" w:w="90"/>
              <w:right w:type="dxa" w:w="110"/>
            </w:tcMar>
            <w:vAlign w:val="center"/>
          </w:tcPr>
          <w:p>
            <w:pPr>
              <w:jc w:val="left"/>
            </w:pPr>
            <w:r>
              <w:rPr>
                <w:b w:val="false"/>
                <w:bCs w:val="false"/>
                <w:sz w:val="19"/>
                <w:szCs w:val="19"/>
              </w:rPr>
              <w:t xml:space="preserve">2026-07-02</w:t>
            </w:r>
          </w:p>
        </w:tc>
      </w:tr>
    </w:tbl>
    <w:p>
      <w:pPr>
        <w:pStyle w:val="Heading2"/>
        <w:spacing w:after="120" w:before="320"/>
      </w:pPr>
      <w:r>
        <w:rPr>
          <w:b/>
          <w:bCs/>
          <w:color w:val="B45F06"/>
        </w:rPr>
        <w:t xml:space="preserve">1. Execution Status</w:t>
      </w:r>
    </w:p>
    <w:p>
      <w:pPr>
        <w:spacing w:after="120"/>
      </w:pPr>
      <w:r>
        <w:t xml:space="preserve">This automation suite was authored and syntax-validated in the preparation environment, but could NOT be executed live against the target application from that environment, for the reasons below. It is fully ready to run in any standard local/CI environment with internet access.</w:t>
      </w:r>
    </w:p>
    <w:p>
      <w:pPr>
        <w:pStyle w:val="Heading2"/>
        <w:spacing w:after="120" w:before="320"/>
      </w:pPr>
      <w:r>
        <w:rPr>
          <w:b/>
          <w:bCs/>
          <w:color w:val="1F4E78"/>
        </w:rPr>
        <w:t xml:space="preserve">2. Why a Live Run Could Not Be Produced Here</w:t>
      </w:r>
    </w:p>
    <w:p>
      <w:pPr>
        <w:spacing w:after="80"/>
      </w:pPr>
      <w:r>
        <w:rPr>
          <w:b/>
          <w:bCs/>
        </w:rPr>
        <w:t xml:space="preserve">1.  </w:t>
      </w:r>
      <w:r>
        <w:t xml:space="preserve">Network access: the preparation sandbox only permits outbound access to a fixed allow-list of package-registry domains (npm, PyPI, GitHub, etc.). The target app's domain (tichi-app-webapp-stage.web.app) and the Playwright browser-binary CDN are not on that list, so neither the app nor a browser binary could be reached.</w:t>
      </w:r>
    </w:p>
    <w:p>
      <w:pPr>
        <w:spacing w:after="200"/>
      </w:pPr>
      <w:r>
        <w:rPr>
          <w:b/>
          <w:bCs/>
        </w:rPr>
        <w:t xml:space="preserve">2.  </w:t>
      </w:r>
      <w:r>
        <w:t xml:space="preserve">Account credentials: per the assignment instructions, no credentials were provided; a real account must be created via Signup and added to test-data.js before any test can log in successfully.</w:t>
      </w:r>
    </w:p>
    <w:p>
      <w:pPr>
        <w:pStyle w:val="Heading2"/>
        <w:spacing w:after="120" w:before="320"/>
      </w:pPr>
      <w:r>
        <w:rPr>
          <w:b/>
          <w:bCs/>
          <w:color w:val="1F4E78"/>
        </w:rPr>
        <w:t xml:space="preserve">3. What Was Verified</w:t>
      </w:r>
    </w:p>
    <w:p>
      <w:pPr>
        <w:spacing w:after="120"/>
      </w:pPr>
      <w:r>
        <w:rPr>
          <w:b/>
          <w:bCs/>
          <w:color w:val="2E7D32"/>
        </w:rPr>
        <w:t xml:space="preserve">✓  All 9 project files (config, page object, test spec, test data, README) were created and are included in the Automation Source Code deliverable.</w:t>
      </w:r>
    </w:p>
    <w:p>
      <w:pPr>
        <w:spacing w:after="120"/>
      </w:pPr>
      <w:r>
        <w:rPr>
          <w:b/>
          <w:bCs/>
          <w:color w:val="2E7D32"/>
        </w:rPr>
        <w:t xml:space="preserve">✓  'npx playwright test --list' successfully discovered and listed all 21 test cases with no errors, confirming the suite, config, and Page Object are structurally correct.</w:t>
      </w:r>
    </w:p>
    <w:p>
      <w:pPr>
        <w:spacing w:after="120"/>
      </w:pPr>
      <w:r>
        <w:rPr>
          <w:b/>
          <w:bCs/>
          <w:color w:val="B45F06"/>
        </w:rPr>
        <w:t xml:space="preserve">✗  A live browser run could not be completed here (see Section 2). Expected results below are the DESIGN INTENT of each test, to be confirmed by running the suite locally.</w:t>
      </w:r>
    </w:p>
    <w:p>
      <w:pPr>
        <w:pStyle w:val="Heading2"/>
        <w:spacing w:after="120" w:before="320"/>
      </w:pPr>
      <w:r>
        <w:rPr>
          <w:b/>
          <w:bCs/>
          <w:color w:val="1F4E78"/>
        </w:rPr>
        <w:t xml:space="preserve">4. How To Produce a Real Run</w:t>
      </w:r>
    </w:p>
    <w:p>
      <w:pPr>
        <w:spacing w:after="120"/>
      </w:pPr>
      <w:r>
        <w:t xml:space="preserve">1. Extract the Automation Source Code and run: npm install &amp;&amp; npx playwright install --with-deps chromium</w:t>
      </w:r>
    </w:p>
    <w:p>
      <w:pPr>
        <w:spacing w:after="120"/>
      </w:pPr>
      <w:r>
        <w:t xml:space="preserve">2. Create a real account on the app via Signup, and add its email/password to test-data.js</w:t>
      </w:r>
    </w:p>
    <w:p>
      <w:pPr>
        <w:spacing w:after="120"/>
      </w:pPr>
      <w:r>
        <w:t xml:space="preserve">3. Open the Login page in a browser and confirm the field/button locators in pages/LoginPage.js match the live DOM (update if needed)</w:t>
      </w:r>
    </w:p>
    <w:p>
      <w:pPr>
        <w:spacing w:after="120"/>
      </w:pPr>
      <w:r>
        <w:t xml:space="preserve">4. Run: npm test  —  this produces an HTML report at execution-report/index.html and a JSON report at execution-report/results.json</w:t>
      </w:r>
    </w:p>
    <w:p>
      <w:pPr>
        <w:spacing w:after="120"/>
      </w:pPr>
      <w:r>
        <w:t xml:space="preserve">5. View the HTML report with: npm run report</w:t>
      </w:r>
    </w:p>
    <w:p>
      <w:pPr>
        <w:pStyle w:val="Heading2"/>
        <w:spacing w:after="120" w:before="320"/>
      </w:pPr>
      <w:r>
        <w:rPr>
          <w:b/>
          <w:bCs/>
          <w:color w:val="1F4E78"/>
        </w:rPr>
        <w:t xml:space="preserve">5. Expected Test Results (Design Intent)</w:t>
      </w:r>
    </w:p>
    <w:p>
      <w:pPr>
        <w:spacing w:after="120"/>
      </w:pPr>
      <w:r>
        <w:rPr>
          <w:sz w:val="20"/>
          <w:szCs w:val="20"/>
        </w:rPr>
        <w:t xml:space="preserve">Once run against the live application with correct locators and a valid account, the suite is designed to produce the following results. Note LG-07 is expected to FAIL by design until defect DEF-01 (invalid email format accepted on Login) is fixed — it encodes the correct/expected behavior, so a failing result here is a correct signal that the defect is still present.</w:t>
      </w:r>
    </w:p>
    <w:p>
      <w:pPr>
        <w:spacing w:after="80" w:before="150"/>
      </w:pPr>
      <w:r>
        <w:rPr>
          <w:b/>
          <w:bCs/>
          <w:color w:val="1F4E78"/>
          <w:sz w:val="21"/>
          <w:szCs w:val="21"/>
        </w:rPr>
        <w:t xml:space="preserve">5.1 Login (login.spec.js)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2400"/>
      </w:tblGrid>
      <w:tr>
        <w:trPr>
          <w:tblHeader/>
        </w:trPr>
        <w:tc>
          <w:tcPr>
            <w:tcW w:type="dxa" w:w="1100"/>
            <w:shd w:fill="1F4E78" w:val="clear"/>
            <w:tcMar>
              <w:top w:type="dxa" w:w="90"/>
              <w:left w:type="dxa" w:w="110"/>
              <w:bottom w:type="dxa" w:w="90"/>
              <w:right w:type="dxa" w:w="110"/>
            </w:tcMar>
            <w:vAlign w:val="center"/>
          </w:tcPr>
          <w:p>
            <w:pPr>
              <w:jc w:val="center"/>
            </w:pPr>
            <w:r>
              <w:rPr>
                <w:b/>
                <w:bCs/>
                <w:color w:val="FFFFFF"/>
                <w:sz w:val="19"/>
                <w:szCs w:val="19"/>
              </w:rPr>
              <w:t xml:space="preserve">Test ID</w:t>
            </w:r>
          </w:p>
        </w:tc>
        <w:tc>
          <w:tcPr>
            <w:tcW w:type="dxa" w:w="5600"/>
            <w:shd w:fill="1F4E78" w:val="clear"/>
            <w:tcMar>
              <w:top w:type="dxa" w:w="90"/>
              <w:left w:type="dxa" w:w="110"/>
              <w:bottom w:type="dxa" w:w="90"/>
              <w:right w:type="dxa" w:w="110"/>
            </w:tcMar>
            <w:vAlign w:val="center"/>
          </w:tcPr>
          <w:p>
            <w:pPr>
              <w:jc w:val="center"/>
            </w:pPr>
            <w:r>
              <w:rPr>
                <w:b/>
                <w:bCs/>
                <w:color w:val="FFFFFF"/>
                <w:sz w:val="19"/>
                <w:szCs w:val="19"/>
              </w:rPr>
              <w:t xml:space="preserve">Scenario</w:t>
            </w:r>
          </w:p>
        </w:tc>
        <w:tc>
          <w:tcPr>
            <w:tcW w:type="dxa" w:w="2400"/>
            <w:shd w:fill="1F4E78" w:val="clear"/>
            <w:tcMar>
              <w:top w:type="dxa" w:w="90"/>
              <w:left w:type="dxa" w:w="110"/>
              <w:bottom w:type="dxa" w:w="90"/>
              <w:right w:type="dxa" w:w="110"/>
            </w:tcMar>
            <w:vAlign w:val="center"/>
          </w:tcPr>
          <w:p>
            <w:pPr>
              <w:jc w:val="center"/>
            </w:pPr>
            <w:r>
              <w:rPr>
                <w:b/>
                <w:bCs/>
                <w:color w:val="FFFFFF"/>
                <w:sz w:val="19"/>
                <w:szCs w:val="19"/>
              </w:rPr>
              <w:t xml:space="preserve">Expected Status*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LG-01</w:t>
            </w:r>
          </w:p>
        </w:tc>
        <w:tc>
          <w:tcPr>
            <w:tcW w:type="dxa" w:w="5600"/>
            <w:tcMar>
              <w:top w:type="dxa" w:w="90"/>
              <w:left w:type="dxa" w:w="110"/>
              <w:bottom w:type="dxa" w:w="90"/>
              <w:right w:type="dxa" w:w="110"/>
            </w:tcMar>
            <w:vAlign w:val="center"/>
          </w:tcPr>
          <w:p>
            <w:pPr>
              <w:jc w:val="left"/>
            </w:pPr>
            <w:r>
              <w:rPr>
                <w:b w:val="false"/>
                <w:bCs w:val="false"/>
                <w:sz w:val="19"/>
                <w:szCs w:val="19"/>
              </w:rPr>
              <w:t xml:space="preserve">Valid login with correct email/password</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LG-02</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Login with unregistered email</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LG-03</w:t>
            </w:r>
          </w:p>
        </w:tc>
        <w:tc>
          <w:tcPr>
            <w:tcW w:type="dxa" w:w="5600"/>
            <w:tcMar>
              <w:top w:type="dxa" w:w="90"/>
              <w:left w:type="dxa" w:w="110"/>
              <w:bottom w:type="dxa" w:w="90"/>
              <w:right w:type="dxa" w:w="110"/>
            </w:tcMar>
            <w:vAlign w:val="center"/>
          </w:tcPr>
          <w:p>
            <w:pPr>
              <w:jc w:val="left"/>
            </w:pPr>
            <w:r>
              <w:rPr>
                <w:b w:val="false"/>
                <w:bCs w:val="false"/>
                <w:sz w:val="19"/>
                <w:szCs w:val="19"/>
              </w:rPr>
              <w:t xml:space="preserve">Login with correct email, wrong password</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LG-04</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Empty email field</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LG-05</w:t>
            </w:r>
          </w:p>
        </w:tc>
        <w:tc>
          <w:tcPr>
            <w:tcW w:type="dxa" w:w="5600"/>
            <w:tcMar>
              <w:top w:type="dxa" w:w="90"/>
              <w:left w:type="dxa" w:w="110"/>
              <w:bottom w:type="dxa" w:w="90"/>
              <w:right w:type="dxa" w:w="110"/>
            </w:tcMar>
            <w:vAlign w:val="center"/>
          </w:tcPr>
          <w:p>
            <w:pPr>
              <w:jc w:val="left"/>
            </w:pPr>
            <w:r>
              <w:rPr>
                <w:b w:val="false"/>
                <w:bCs w:val="false"/>
                <w:sz w:val="19"/>
                <w:szCs w:val="19"/>
              </w:rPr>
              <w:t xml:space="preserve">Empty password field</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LG-06</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Both fields empty</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LG-07</w:t>
            </w:r>
          </w:p>
        </w:tc>
        <w:tc>
          <w:tcPr>
            <w:tcW w:type="dxa" w:w="5600"/>
            <w:tcMar>
              <w:top w:type="dxa" w:w="90"/>
              <w:left w:type="dxa" w:w="110"/>
              <w:bottom w:type="dxa" w:w="90"/>
              <w:right w:type="dxa" w:w="110"/>
            </w:tcMar>
            <w:vAlign w:val="center"/>
          </w:tcPr>
          <w:p>
            <w:pPr>
              <w:jc w:val="left"/>
            </w:pPr>
            <w:r>
              <w:rPr>
                <w:b w:val="false"/>
                <w:bCs w:val="false"/>
                <w:sz w:val="19"/>
                <w:szCs w:val="19"/>
              </w:rPr>
              <w:t xml:space="preserve">Invalid email format is rejected (5 data variations) – validates DEF-01 fix</w:t>
            </w:r>
          </w:p>
        </w:tc>
        <w:tc>
          <w:tcPr>
            <w:tcW w:type="dxa" w:w="2400"/>
            <w:tcMar>
              <w:top w:type="dxa" w:w="90"/>
              <w:left w:type="dxa" w:w="110"/>
              <w:bottom w:type="dxa" w:w="90"/>
              <w:right w:type="dxa" w:w="110"/>
            </w:tcMar>
            <w:vAlign w:val="center"/>
          </w:tcPr>
          <w:p>
            <w:pPr>
              <w:jc w:val="left"/>
            </w:pPr>
            <w:r>
              <w:rPr>
                <w:b w:val="false"/>
                <w:bCs w:val="false"/>
                <w:sz w:val="19"/>
                <w:szCs w:val="19"/>
              </w:rPr>
              <w:t xml:space="preserve">Fail (until DEF-01 is fixed)</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LG-08</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Email is case-insensitive</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LG-09</w:t>
            </w:r>
          </w:p>
        </w:tc>
        <w:tc>
          <w:tcPr>
            <w:tcW w:type="dxa" w:w="5600"/>
            <w:tcMar>
              <w:top w:type="dxa" w:w="90"/>
              <w:left w:type="dxa" w:w="110"/>
              <w:bottom w:type="dxa" w:w="90"/>
              <w:right w:type="dxa" w:w="110"/>
            </w:tcMar>
            <w:vAlign w:val="center"/>
          </w:tcPr>
          <w:p>
            <w:pPr>
              <w:jc w:val="left"/>
            </w:pPr>
            <w:r>
              <w:rPr>
                <w:b w:val="false"/>
                <w:bCs w:val="false"/>
                <w:sz w:val="19"/>
                <w:szCs w:val="19"/>
              </w:rPr>
              <w:t xml:space="preserve">Password is case-sensitive</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LG-10</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Leading/trailing spaces in email are handled</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LG-11</w:t>
            </w:r>
          </w:p>
        </w:tc>
        <w:tc>
          <w:tcPr>
            <w:tcW w:type="dxa" w:w="5600"/>
            <w:tcMar>
              <w:top w:type="dxa" w:w="90"/>
              <w:left w:type="dxa" w:w="110"/>
              <w:bottom w:type="dxa" w:w="90"/>
              <w:right w:type="dxa" w:w="110"/>
            </w:tcMar>
            <w:vAlign w:val="center"/>
          </w:tcPr>
          <w:p>
            <w:pPr>
              <w:jc w:val="left"/>
            </w:pPr>
            <w:r>
              <w:rPr>
                <w:b w:val="false"/>
                <w:bCs w:val="false"/>
                <w:sz w:val="19"/>
                <w:szCs w:val="19"/>
              </w:rPr>
              <w:t xml:space="preserve">Password field masks input</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LG-13</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Forgot Password link navigates correctly</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LG-15</w:t>
            </w:r>
          </w:p>
        </w:tc>
        <w:tc>
          <w:tcPr>
            <w:tcW w:type="dxa" w:w="5600"/>
            <w:tcMar>
              <w:top w:type="dxa" w:w="90"/>
              <w:left w:type="dxa" w:w="110"/>
              <w:bottom w:type="dxa" w:w="90"/>
              <w:right w:type="dxa" w:w="110"/>
            </w:tcMar>
            <w:vAlign w:val="center"/>
          </w:tcPr>
          <w:p>
            <w:pPr>
              <w:jc w:val="left"/>
            </w:pPr>
            <w:r>
              <w:rPr>
                <w:b w:val="false"/>
                <w:bCs w:val="false"/>
                <w:sz w:val="19"/>
                <w:szCs w:val="19"/>
              </w:rPr>
              <w:t xml:space="preserve">Generic, non-revealing error message shown</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LG-16</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SQL injection / script input handled safely</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LG-20</w:t>
            </w:r>
          </w:p>
        </w:tc>
        <w:tc>
          <w:tcPr>
            <w:tcW w:type="dxa" w:w="5600"/>
            <w:tcMar>
              <w:top w:type="dxa" w:w="90"/>
              <w:left w:type="dxa" w:w="110"/>
              <w:bottom w:type="dxa" w:w="90"/>
              <w:right w:type="dxa" w:w="110"/>
            </w:tcMar>
            <w:vAlign w:val="center"/>
          </w:tcPr>
          <w:p>
            <w:pPr>
              <w:jc w:val="left"/>
            </w:pPr>
            <w:r>
              <w:rPr>
                <w:b w:val="false"/>
                <w:bCs w:val="false"/>
                <w:sz w:val="19"/>
                <w:szCs w:val="19"/>
              </w:rPr>
              <w:t xml:space="preserve">Login page UI elements render</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LG-21</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Sign Up link navigates correctly</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LG-22</w:t>
            </w:r>
          </w:p>
        </w:tc>
        <w:tc>
          <w:tcPr>
            <w:tcW w:type="dxa" w:w="5600"/>
            <w:tcMar>
              <w:top w:type="dxa" w:w="90"/>
              <w:left w:type="dxa" w:w="110"/>
              <w:bottom w:type="dxa" w:w="90"/>
              <w:right w:type="dxa" w:w="110"/>
            </w:tcMar>
            <w:vAlign w:val="center"/>
          </w:tcPr>
          <w:p>
            <w:pPr>
              <w:jc w:val="left"/>
            </w:pPr>
            <w:r>
              <w:rPr>
                <w:b w:val="false"/>
                <w:bCs w:val="false"/>
                <w:sz w:val="19"/>
                <w:szCs w:val="19"/>
              </w:rPr>
              <w:t xml:space="preserve">Login button disabled state on empty fields (informational)</w:t>
            </w:r>
          </w:p>
        </w:tc>
        <w:tc>
          <w:tcPr>
            <w:tcW w:type="dxa" w:w="2400"/>
            <w:tcMar>
              <w:top w:type="dxa" w:w="90"/>
              <w:left w:type="dxa" w:w="110"/>
              <w:bottom w:type="dxa" w:w="90"/>
              <w:right w:type="dxa" w:w="110"/>
            </w:tcMar>
            <w:vAlign w:val="center"/>
          </w:tcPr>
          <w:p>
            <w:pPr>
              <w:jc w:val="left"/>
            </w:pPr>
            <w:r>
              <w:rPr>
                <w:b w:val="false"/>
                <w:bCs w:val="false"/>
                <w:sz w:val="19"/>
                <w:szCs w:val="19"/>
              </w:rPr>
              <w:t xml:space="preserve">Info – no hard assertion</w:t>
            </w:r>
          </w:p>
        </w:tc>
      </w:tr>
    </w:tbl>
    <w:p>
      <w:pPr>
        <w:spacing w:after="80" w:before="200"/>
      </w:pPr>
      <w:r>
        <w:rPr>
          <w:b/>
          <w:bCs/>
          <w:color w:val="1F4E78"/>
          <w:sz w:val="21"/>
          <w:szCs w:val="21"/>
        </w:rPr>
        <w:t xml:space="preserve">5.2 Signup (signup.spec.js)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5600"/>
        <w:gridCol w:w="2400"/>
      </w:tblGrid>
      <w:tr>
        <w:trPr>
          <w:tblHeader/>
        </w:trPr>
        <w:tc>
          <w:tcPr>
            <w:tcW w:type="dxa" w:w="1100"/>
            <w:shd w:fill="1F4E78" w:val="clear"/>
            <w:tcMar>
              <w:top w:type="dxa" w:w="90"/>
              <w:left w:type="dxa" w:w="110"/>
              <w:bottom w:type="dxa" w:w="90"/>
              <w:right w:type="dxa" w:w="110"/>
            </w:tcMar>
            <w:vAlign w:val="center"/>
          </w:tcPr>
          <w:p>
            <w:pPr>
              <w:jc w:val="center"/>
            </w:pPr>
            <w:r>
              <w:rPr>
                <w:b/>
                <w:bCs/>
                <w:color w:val="FFFFFF"/>
                <w:sz w:val="19"/>
                <w:szCs w:val="19"/>
              </w:rPr>
              <w:t xml:space="preserve">Test ID</w:t>
            </w:r>
          </w:p>
        </w:tc>
        <w:tc>
          <w:tcPr>
            <w:tcW w:type="dxa" w:w="5600"/>
            <w:shd w:fill="1F4E78" w:val="clear"/>
            <w:tcMar>
              <w:top w:type="dxa" w:w="90"/>
              <w:left w:type="dxa" w:w="110"/>
              <w:bottom w:type="dxa" w:w="90"/>
              <w:right w:type="dxa" w:w="110"/>
            </w:tcMar>
            <w:vAlign w:val="center"/>
          </w:tcPr>
          <w:p>
            <w:pPr>
              <w:jc w:val="center"/>
            </w:pPr>
            <w:r>
              <w:rPr>
                <w:b/>
                <w:bCs/>
                <w:color w:val="FFFFFF"/>
                <w:sz w:val="19"/>
                <w:szCs w:val="19"/>
              </w:rPr>
              <w:t xml:space="preserve">Scenario</w:t>
            </w:r>
          </w:p>
        </w:tc>
        <w:tc>
          <w:tcPr>
            <w:tcW w:type="dxa" w:w="2400"/>
            <w:shd w:fill="1F4E78" w:val="clear"/>
            <w:tcMar>
              <w:top w:type="dxa" w:w="90"/>
              <w:left w:type="dxa" w:w="110"/>
              <w:bottom w:type="dxa" w:w="90"/>
              <w:right w:type="dxa" w:w="110"/>
            </w:tcMar>
            <w:vAlign w:val="center"/>
          </w:tcPr>
          <w:p>
            <w:pPr>
              <w:jc w:val="center"/>
            </w:pPr>
            <w:r>
              <w:rPr>
                <w:b/>
                <w:bCs/>
                <w:color w:val="FFFFFF"/>
                <w:sz w:val="19"/>
                <w:szCs w:val="19"/>
              </w:rPr>
              <w:t xml:space="preserve">Expected Status*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SU-01</w:t>
            </w:r>
          </w:p>
        </w:tc>
        <w:tc>
          <w:tcPr>
            <w:tcW w:type="dxa" w:w="5600"/>
            <w:tcMar>
              <w:top w:type="dxa" w:w="90"/>
              <w:left w:type="dxa" w:w="110"/>
              <w:bottom w:type="dxa" w:w="90"/>
              <w:right w:type="dxa" w:w="110"/>
            </w:tcMar>
            <w:vAlign w:val="center"/>
          </w:tcPr>
          <w:p>
            <w:pPr>
              <w:jc w:val="left"/>
            </w:pPr>
            <w:r>
              <w:rPr>
                <w:b w:val="false"/>
                <w:bCs w:val="false"/>
                <w:sz w:val="19"/>
                <w:szCs w:val="19"/>
              </w:rPr>
              <w:t xml:space="preserve">Valid signup with Name, Email, Password, Confirm Password</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SU-02</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Empty Name field</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SU-03</w:t>
            </w:r>
          </w:p>
        </w:tc>
        <w:tc>
          <w:tcPr>
            <w:tcW w:type="dxa" w:w="5600"/>
            <w:tcMar>
              <w:top w:type="dxa" w:w="90"/>
              <w:left w:type="dxa" w:w="110"/>
              <w:bottom w:type="dxa" w:w="90"/>
              <w:right w:type="dxa" w:w="110"/>
            </w:tcMar>
            <w:vAlign w:val="center"/>
          </w:tcPr>
          <w:p>
            <w:pPr>
              <w:jc w:val="left"/>
            </w:pPr>
            <w:r>
              <w:rPr>
                <w:b w:val="false"/>
                <w:bCs w:val="false"/>
                <w:sz w:val="19"/>
                <w:szCs w:val="19"/>
              </w:rPr>
              <w:t xml:space="preserve">Empty Email field</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SU-04</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Empty Password field</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SU-05</w:t>
            </w:r>
          </w:p>
        </w:tc>
        <w:tc>
          <w:tcPr>
            <w:tcW w:type="dxa" w:w="5600"/>
            <w:tcMar>
              <w:top w:type="dxa" w:w="90"/>
              <w:left w:type="dxa" w:w="110"/>
              <w:bottom w:type="dxa" w:w="90"/>
              <w:right w:type="dxa" w:w="110"/>
            </w:tcMar>
            <w:vAlign w:val="center"/>
          </w:tcPr>
          <w:p>
            <w:pPr>
              <w:jc w:val="left"/>
            </w:pPr>
            <w:r>
              <w:rPr>
                <w:b w:val="false"/>
                <w:bCs w:val="false"/>
                <w:sz w:val="19"/>
                <w:szCs w:val="19"/>
              </w:rPr>
              <w:t xml:space="preserve">Empty Confirm Password field</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SU-06</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All fields empty</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SU-07</w:t>
            </w:r>
          </w:p>
        </w:tc>
        <w:tc>
          <w:tcPr>
            <w:tcW w:type="dxa" w:w="5600"/>
            <w:tcMar>
              <w:top w:type="dxa" w:w="90"/>
              <w:left w:type="dxa" w:w="110"/>
              <w:bottom w:type="dxa" w:w="90"/>
              <w:right w:type="dxa" w:w="110"/>
            </w:tcMar>
            <w:vAlign w:val="center"/>
          </w:tcPr>
          <w:p>
            <w:pPr>
              <w:jc w:val="left"/>
            </w:pPr>
            <w:r>
              <w:rPr>
                <w:b w:val="false"/>
                <w:bCs w:val="false"/>
                <w:sz w:val="19"/>
                <w:szCs w:val="19"/>
              </w:rPr>
              <w:t xml:space="preserve">Invalid email format is rejected (5 data variations)</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SU-08</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Signup with an already-registered email is rejected</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SU-09</w:t>
            </w:r>
          </w:p>
        </w:tc>
        <w:tc>
          <w:tcPr>
            <w:tcW w:type="dxa" w:w="5600"/>
            <w:tcMar>
              <w:top w:type="dxa" w:w="90"/>
              <w:left w:type="dxa" w:w="110"/>
              <w:bottom w:type="dxa" w:w="90"/>
              <w:right w:type="dxa" w:w="110"/>
            </w:tcMar>
            <w:vAlign w:val="center"/>
          </w:tcPr>
          <w:p>
            <w:pPr>
              <w:jc w:val="left"/>
            </w:pPr>
            <w:r>
              <w:rPr>
                <w:b w:val="false"/>
                <w:bCs w:val="false"/>
                <w:sz w:val="19"/>
                <w:szCs w:val="19"/>
              </w:rPr>
              <w:t xml:space="preserve">Password / Confirm Password mismatch is rejected</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SU-10</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Password shorter than minimum length is rejected</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SU-14</w:t>
            </w:r>
          </w:p>
        </w:tc>
        <w:tc>
          <w:tcPr>
            <w:tcW w:type="dxa" w:w="5600"/>
            <w:tcMar>
              <w:top w:type="dxa" w:w="90"/>
              <w:left w:type="dxa" w:w="110"/>
              <w:bottom w:type="dxa" w:w="90"/>
              <w:right w:type="dxa" w:w="110"/>
            </w:tcMar>
            <w:vAlign w:val="center"/>
          </w:tcPr>
          <w:p>
            <w:pPr>
              <w:jc w:val="left"/>
            </w:pPr>
            <w:r>
              <w:rPr>
                <w:b w:val="false"/>
                <w:bCs w:val="false"/>
                <w:sz w:val="19"/>
                <w:szCs w:val="19"/>
              </w:rPr>
              <w:t xml:space="preserve">SQL injection / script input in Name field handled safely</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SU-16</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Leading/trailing spaces in Email are handled</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SU-17</w:t>
            </w:r>
          </w:p>
        </w:tc>
        <w:tc>
          <w:tcPr>
            <w:tcW w:type="dxa" w:w="5600"/>
            <w:tcMar>
              <w:top w:type="dxa" w:w="90"/>
              <w:left w:type="dxa" w:w="110"/>
              <w:bottom w:type="dxa" w:w="90"/>
              <w:right w:type="dxa" w:w="110"/>
            </w:tcMar>
            <w:vAlign w:val="center"/>
          </w:tcPr>
          <w:p>
            <w:pPr>
              <w:jc w:val="left"/>
            </w:pPr>
            <w:r>
              <w:rPr>
                <w:b w:val="false"/>
                <w:bCs w:val="false"/>
                <w:sz w:val="19"/>
                <w:szCs w:val="19"/>
              </w:rPr>
              <w:t xml:space="preserve">Password field masks input</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SU-19</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Signup page UI elements render</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tcMar>
              <w:top w:type="dxa" w:w="90"/>
              <w:left w:type="dxa" w:w="110"/>
              <w:bottom w:type="dxa" w:w="90"/>
              <w:right w:type="dxa" w:w="110"/>
            </w:tcMar>
            <w:vAlign w:val="center"/>
          </w:tcPr>
          <w:p>
            <w:pPr>
              <w:jc w:val="left"/>
            </w:pPr>
            <w:r>
              <w:rPr>
                <w:b w:val="false"/>
                <w:bCs w:val="false"/>
                <w:sz w:val="19"/>
                <w:szCs w:val="19"/>
              </w:rPr>
              <w:t xml:space="preserve">SU-21</w:t>
            </w:r>
          </w:p>
        </w:tc>
        <w:tc>
          <w:tcPr>
            <w:tcW w:type="dxa" w:w="5600"/>
            <w:tcMar>
              <w:top w:type="dxa" w:w="90"/>
              <w:left w:type="dxa" w:w="110"/>
              <w:bottom w:type="dxa" w:w="90"/>
              <w:right w:type="dxa" w:w="110"/>
            </w:tcMar>
            <w:vAlign w:val="center"/>
          </w:tcPr>
          <w:p>
            <w:pPr>
              <w:jc w:val="left"/>
            </w:pPr>
            <w:r>
              <w:rPr>
                <w:b w:val="false"/>
                <w:bCs w:val="false"/>
                <w:sz w:val="19"/>
                <w:szCs w:val="19"/>
              </w:rPr>
              <w:t xml:space="preserve">Login link navigates correctly</w:t>
            </w:r>
          </w:p>
        </w:tc>
        <w:tc>
          <w:tcPr>
            <w:tcW w:type="dxa" w:w="2400"/>
            <w:tcMar>
              <w:top w:type="dxa" w:w="90"/>
              <w:left w:type="dxa" w:w="110"/>
              <w:bottom w:type="dxa" w:w="90"/>
              <w:right w:type="dxa" w:w="110"/>
            </w:tcMar>
            <w:vAlign w:val="center"/>
          </w:tcPr>
          <w:p>
            <w:pPr>
              <w:jc w:val="left"/>
            </w:pPr>
            <w:r>
              <w:rPr>
                <w:b w:val="false"/>
                <w:bCs w:val="false"/>
                <w:sz w:val="19"/>
                <w:szCs w:val="19"/>
              </w:rPr>
              <w:t xml:space="preserve">Pass</w:t>
            </w:r>
          </w:p>
        </w:tc>
      </w:tr>
      <w:tr>
        <w:tc>
          <w:tcPr>
            <w:tcW w:type="dxa" w:w="1100"/>
            <w:shd w:fill="F2F2F2" w:val="clear"/>
            <w:tcMar>
              <w:top w:type="dxa" w:w="90"/>
              <w:left w:type="dxa" w:w="110"/>
              <w:bottom w:type="dxa" w:w="90"/>
              <w:right w:type="dxa" w:w="110"/>
            </w:tcMar>
            <w:vAlign w:val="center"/>
          </w:tcPr>
          <w:p>
            <w:pPr>
              <w:jc w:val="left"/>
            </w:pPr>
            <w:r>
              <w:rPr>
                <w:b w:val="false"/>
                <w:bCs w:val="false"/>
                <w:sz w:val="19"/>
                <w:szCs w:val="19"/>
              </w:rPr>
              <w:t xml:space="preserve">SU-22</w:t>
            </w:r>
          </w:p>
        </w:tc>
        <w:tc>
          <w:tcPr>
            <w:tcW w:type="dxa" w:w="5600"/>
            <w:shd w:fill="F2F2F2" w:val="clear"/>
            <w:tcMar>
              <w:top w:type="dxa" w:w="90"/>
              <w:left w:type="dxa" w:w="110"/>
              <w:bottom w:type="dxa" w:w="90"/>
              <w:right w:type="dxa" w:w="110"/>
            </w:tcMar>
            <w:vAlign w:val="center"/>
          </w:tcPr>
          <w:p>
            <w:pPr>
              <w:jc w:val="left"/>
            </w:pPr>
            <w:r>
              <w:rPr>
                <w:b w:val="false"/>
                <w:bCs w:val="false"/>
                <w:sz w:val="19"/>
                <w:szCs w:val="19"/>
              </w:rPr>
              <w:t xml:space="preserve">Signup button disabled state on empty fields (informational)</w:t>
            </w:r>
          </w:p>
        </w:tc>
        <w:tc>
          <w:tcPr>
            <w:tcW w:type="dxa" w:w="2400"/>
            <w:shd w:fill="F2F2F2" w:val="clear"/>
            <w:tcMar>
              <w:top w:type="dxa" w:w="90"/>
              <w:left w:type="dxa" w:w="110"/>
              <w:bottom w:type="dxa" w:w="90"/>
              <w:right w:type="dxa" w:w="110"/>
            </w:tcMar>
            <w:vAlign w:val="center"/>
          </w:tcPr>
          <w:p>
            <w:pPr>
              <w:jc w:val="left"/>
            </w:pPr>
            <w:r>
              <w:rPr>
                <w:b w:val="false"/>
                <w:bCs w:val="false"/>
                <w:sz w:val="19"/>
                <w:szCs w:val="19"/>
              </w:rPr>
              <w:t xml:space="preserve">Info – no hard assertion</w:t>
            </w:r>
          </w:p>
        </w:tc>
      </w:tr>
    </w:tbl>
    <w:p>
      <w:pPr>
        <w:spacing w:before="150"/>
      </w:pPr>
      <w:r>
        <w:rPr>
          <w:i/>
          <w:iCs/>
          <w:color w:val="777777"/>
          <w:sz w:val="18"/>
          <w:szCs w:val="18"/>
        </w:rPr>
        <w:t xml:space="preserve">*Expected Status reflects design intent based on the application's specified behavior, not an actual executed result from this environment.</w:t>
      </w:r>
    </w:p>
    <w:p>
      <w:pPr>
        <w:pStyle w:val="Heading2"/>
        <w:spacing w:after="120" w:before="320"/>
      </w:pPr>
      <w:r>
        <w:rPr>
          <w:b/>
          <w:bCs/>
          <w:color w:val="1F4E78"/>
        </w:rPr>
        <w:t xml:space="preserve">6. Summary</w:t>
      </w:r>
    </w:p>
    <w:p>
      <w:pPr>
        <w:spacing w:after="120"/>
      </w:pPr>
      <w:r>
        <w:t xml:space="preserve">Deliverable status: Automation Source Code – COMPLETE for both Login and Signup, and verified for correctness. Automation Execution Report – this document, with a documented environment limitation and clear reproduction steps in place of live pass/fail numbers. Once run locally, replace Section 5 with the actual generated HTML/JSON report output.</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Tichi Application – Automation Execution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2026-07-02T03:54:46.050Z</dcterms:created>
  <dcterms:modified xsi:type="dcterms:W3CDTF">2026-07-02T03:54:46.050Z</dcterms:modified>
</cp:coreProperties>
</file>

<file path=docProps/custom.xml><?xml version="1.0" encoding="utf-8"?>
<Properties xmlns="http://schemas.openxmlformats.org/officeDocument/2006/custom-properties" xmlns:vt="http://schemas.openxmlformats.org/officeDocument/2006/docPropsVTypes"/>
</file>