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00"/>
        <w:jc w:val="center"/>
      </w:pPr>
      <w:r>
        <w:drawing>
          <wp:inline distT="0" distB="0" distL="0" distR="0">
            <wp:extent cx="4381500" cy="2295525"/>
            <wp:effectExtent t="0" r="0" b="0" l="0"/>
            <wp:docPr id="1" name="GKSA" descr="Golden Knights Soccer Academy logo" title="GKS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295525"/>
                    </a:xfrm>
                    <a:prstGeom prst="rect">
                      <a:avLst/>
                    </a:prstGeom>
                  </pic:spPr>
                </pic:pic>
              </a:graphicData>
            </a:graphic>
          </wp:inline>
        </w:drawing>
      </w:r>
    </w:p>
    <w:p>
      <w:pPr>
        <w:spacing w:after="80" w:before="240"/>
        <w:jc w:val="center"/>
      </w:pPr>
      <w:r>
        <w:rPr>
          <w:b/>
          <w:bCs/>
          <w:color w:val="1A1A1A"/>
          <w:sz w:val="44"/>
          <w:szCs w:val="44"/>
        </w:rPr>
        <w:t xml:space="preserve">Golden Knights Soccer Academy</w:t>
      </w:r>
    </w:p>
    <w:p>
      <w:pPr>
        <w:spacing w:after="40"/>
        <w:jc w:val="center"/>
      </w:pPr>
      <w:r>
        <w:rPr>
          <w:b/>
          <w:bCs/>
          <w:color w:val="EE3030"/>
          <w:sz w:val="30"/>
          <w:szCs w:val="30"/>
        </w:rPr>
        <w:t xml:space="preserve">Official Website — Plan &amp; Blueprint</w:t>
      </w:r>
    </w:p>
    <w:p>
      <w:pPr>
        <w:spacing w:after="60"/>
        <w:jc w:val="center"/>
      </w:pPr>
      <w:r>
        <w:rPr>
          <w:i/>
          <w:iCs/>
          <w:color w:val="595959"/>
          <w:sz w:val="22"/>
          <w:szCs w:val="22"/>
        </w:rPr>
        <w:t xml:space="preserve">Strategy, sitemap, page-by-page content &amp; build roadmap</w:t>
      </w:r>
    </w:p>
    <w:p>
      <w:pPr>
        <w:spacing w:before="600"/>
        <w:jc w:val="center"/>
      </w:pPr>
      <w:r>
        <w:rPr>
          <w:color w:val="595959"/>
          <w:sz w:val="20"/>
          <w:szCs w:val="20"/>
        </w:rPr>
        <w:t xml:space="preserve">Prepared for: Golden Knights Soccer Academy (GKSA)</w:t>
      </w:r>
    </w:p>
    <w:p>
      <w:pPr>
        <w:spacing w:after="40"/>
        <w:jc w:val="center"/>
      </w:pPr>
      <w:r>
        <w:rPr>
          <w:color w:val="595959"/>
          <w:sz w:val="20"/>
          <w:szCs w:val="20"/>
        </w:rPr>
        <w:t xml:space="preserve">Version 1.0  •  June 2026</w:t>
      </w:r>
    </w:p>
    <w:p>
      <w:r>
        <w:br w:type="page"/>
      </w:r>
    </w:p>
    <w:p>
      <w:pPr>
        <w:spacing w:after="160"/>
      </w:pPr>
      <w:r>
        <w:rPr>
          <w:b/>
          <w:bCs/>
          <w:color w:val="1A1A1A"/>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pPr>
      <w:r>
        <w:t xml:space="preserve">1. About this document</w:t>
      </w:r>
    </w:p>
    <w:p>
      <w:pPr>
        <w:spacing w:after="140" w:line="276"/>
      </w:pPr>
      <w:r>
        <w:t xml:space="preserve">This blueprint is the first deliverable for the Golden Knights Soccer Academy (GKSA) website. It is a planning document, not the website itself. Its purpose is to align everyone — the academy, the design/build team, and prospective sponsors — on what the site must achieve, what every page should contain, and how the work will be staged before any design or code begins.</w:t>
      </w:r>
    </w:p>
    <w:p>
      <w:pPr>
        <w:spacing w:after="140" w:line="276"/>
      </w:pPr>
      <w:r>
        <w:t xml:space="preserve">The goal set by the academy is clear: build the best site of its kind for a grassroots football academy. To do that, the site has to do two jobs at once — win the confidence of sponsors and partners, and serve the parents, players, and community who keep the academy alive day to day. This document gives equal weight to both audiences and treats every page as a step toward those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DDDD" w:sz="1"/>
              <w:left w:val="single" w:color="EE3030" w:sz="18"/>
              <w:bottom w:val="single" w:color="EEDDDD" w:sz="1"/>
              <w:right w:val="single" w:color="EEDDDD" w:sz="1"/>
            </w:tcBorders>
            <w:shd w:fill="FBE0E0" w:val="clear"/>
            <w:tcMar>
              <w:top w:type="dxa" w:w="120"/>
              <w:left w:type="dxa" w:w="200"/>
              <w:bottom w:type="dxa" w:w="120"/>
              <w:right w:type="dxa" w:w="160"/>
            </w:tcMar>
          </w:tcPr>
          <w:p>
            <w:pPr>
              <w:spacing w:after="60"/>
            </w:pPr>
            <w:r>
              <w:rPr>
                <w:b/>
                <w:bCs/>
                <w:color w:val="EE3030"/>
                <w:sz w:val="22"/>
                <w:szCs w:val="22"/>
              </w:rPr>
              <w:t xml:space="preserve">How to use this document</w:t>
            </w:r>
          </w:p>
          <w:p>
            <w:pPr>
              <w:spacing w:after="40" w:line="264"/>
            </w:pPr>
            <w:r>
              <w:rPr>
                <w:color w:val="1A1A1A"/>
                <w:sz w:val="20"/>
                <w:szCs w:val="20"/>
              </w:rPr>
              <w:t xml:space="preserve">Sections 2–4 set the strategy: goals, audiences, and the brand the site must express.</w:t>
            </w:r>
          </w:p>
          <w:p>
            <w:pPr>
              <w:spacing w:after="40" w:line="264"/>
            </w:pPr>
            <w:r>
              <w:rPr>
                <w:color w:val="1A1A1A"/>
                <w:sz w:val="20"/>
                <w:szCs w:val="20"/>
              </w:rPr>
              <w:t xml:space="preserve">Sections 5–7 are the build spec: sitemap, page-by-page content, and the sponsor funnel.</w:t>
            </w:r>
          </w:p>
          <w:p>
            <w:pPr>
              <w:spacing w:after="40" w:line="264"/>
            </w:pPr>
            <w:r>
              <w:rPr>
                <w:color w:val="1A1A1A"/>
                <w:sz w:val="20"/>
                <w:szCs w:val="20"/>
              </w:rPr>
              <w:t xml:space="preserve">Sections 8–12 cover features, technology, content gathering, the phased roadmap, and what we need from you next.</w:t>
            </w:r>
          </w:p>
        </w:tc>
      </w:tr>
    </w:tbl>
    <w:p>
      <w:pPr>
        <w:pStyle w:val="Heading1"/>
      </w:pPr>
      <w:r>
        <w:t xml:space="preserve">2. Vision, goals &amp; success metrics</w:t>
      </w:r>
    </w:p>
    <w:p>
      <w:pPr>
        <w:spacing w:after="140" w:line="276"/>
      </w:pPr>
      <w:r>
        <w:t xml:space="preserve">GKSA was founded in 2016 by Head Coach Katlego Ntsheke and is based in Midrand, Gauteng. From a starting group registered with SAFA through the North Rand Football Association, it has grown into a respected youth development platform serving over 100 players and reaching hundreds of family and community members. The website should capture that decade of growth and turn it into momentum.</w:t>
      </w:r>
    </w:p>
    <w:p>
      <w:pPr>
        <w:pStyle w:val="Heading2"/>
      </w:pPr>
      <w:r>
        <w:t xml:space="preserve">Vision for the site</w:t>
      </w:r>
    </w:p>
    <w:p>
      <w:pPr>
        <w:spacing w:after="140" w:line="276"/>
      </w:pPr>
      <w:r>
        <w:t xml:space="preserve">A polished, credible online home that makes GKSA look as professional as the work it does on the field — a place a sponsor can trust with their brand and a parent can trust with their child.</w:t>
      </w:r>
    </w:p>
    <w:p>
      <w:pPr>
        <w:pStyle w:val="Heading2"/>
      </w:pPr>
      <w:r>
        <w:t xml:space="preserve">Primary goals</w:t>
      </w:r>
    </w:p>
    <w:p>
      <w:pPr>
        <w:pStyle w:val="ListParagraph"/>
        <w:numPr>
          <w:ilvl w:val="0"/>
          <w:numId w:val="2"/>
        </w:numPr>
        <w:spacing w:after="60" w:line="270"/>
      </w:pPr>
      <w:r>
        <w:rPr>
          <w:b/>
          <w:bCs/>
          <w:color w:val="1A1A1A"/>
        </w:rPr>
        <w:t xml:space="preserve">Attract sponsors and partners. </w:t>
      </w:r>
      <w:r>
        <w:t xml:space="preserve">Present GKSA's impact and sponsorship tiers clearly, and make it effortless to start a conversation or download the proposal.</w:t>
      </w:r>
    </w:p>
    <w:p>
      <w:pPr>
        <w:pStyle w:val="ListParagraph"/>
        <w:numPr>
          <w:ilvl w:val="0"/>
          <w:numId w:val="2"/>
        </w:numPr>
        <w:spacing w:after="60" w:line="270"/>
      </w:pPr>
      <w:r>
        <w:rPr>
          <w:b/>
          <w:bCs/>
          <w:color w:val="1A1A1A"/>
        </w:rPr>
        <w:t xml:space="preserve">Showcase partnerships well. </w:t>
      </w:r>
      <w:r>
        <w:t xml:space="preserve">Give existing and future sponsors visible, attractive recognition that makes partnership feel rewarding and public.</w:t>
      </w:r>
    </w:p>
    <w:p>
      <w:pPr>
        <w:pStyle w:val="ListParagraph"/>
        <w:numPr>
          <w:ilvl w:val="0"/>
          <w:numId w:val="2"/>
        </w:numPr>
        <w:spacing w:after="60" w:line="270"/>
      </w:pPr>
      <w:r>
        <w:rPr>
          <w:b/>
          <w:bCs/>
          <w:color w:val="1A1A1A"/>
        </w:rPr>
        <w:t xml:space="preserve">Serve parents and players. </w:t>
      </w:r>
      <w:r>
        <w:t xml:space="preserve">Explain programmes, age groups, and how to register or get involved, and keep the community informed with fixtures, results, and news.</w:t>
      </w:r>
    </w:p>
    <w:p>
      <w:pPr>
        <w:pStyle w:val="ListParagraph"/>
        <w:numPr>
          <w:ilvl w:val="0"/>
          <w:numId w:val="2"/>
        </w:numPr>
        <w:spacing w:after="60" w:line="270"/>
      </w:pPr>
      <w:r>
        <w:rPr>
          <w:b/>
          <w:bCs/>
          <w:color w:val="1A1A1A"/>
        </w:rPr>
        <w:t xml:space="preserve">Build credibility. </w:t>
      </w:r>
      <w:r>
        <w:t xml:space="preserve">Use the academy's story, media coverage, photos, and values to establish trust at a glance.</w:t>
      </w:r>
    </w:p>
    <w:p>
      <w:pPr>
        <w:pStyle w:val="Heading2"/>
      </w:pPr>
      <w:r>
        <w:t xml:space="preserve">How we will measure success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DDDDD" w:sz="1"/>
              <w:left w:val="single" w:color="DDDDDD" w:sz="1"/>
              <w:bottom w:val="single" w:color="DDDDDD" w:sz="1"/>
              <w:right w:val="single" w:color="DDDDDD" w:sz="1"/>
            </w:tcBorders>
            <w:shd w:fill="EE3030" w:val="clear"/>
            <w:tcMar>
              <w:top w:type="dxa" w:w="80"/>
              <w:left w:type="dxa" w:w="120"/>
              <w:bottom w:type="dxa" w:w="80"/>
              <w:right w:type="dxa" w:w="120"/>
            </w:tcMar>
            <w:vAlign w:val="center"/>
          </w:tcPr>
          <w:p>
            <w:r>
              <w:rPr>
                <w:b/>
                <w:bCs/>
                <w:color w:val="FFFFFF"/>
                <w:sz w:val="20"/>
                <w:szCs w:val="20"/>
              </w:rPr>
              <w:t xml:space="preserve">Goal</w:t>
            </w:r>
          </w:p>
        </w:tc>
        <w:tc>
          <w:tcPr>
            <w:tcW w:type="dxa" w:w="3120"/>
            <w:tcBorders>
              <w:top w:val="single" w:color="DDDDDD" w:sz="1"/>
              <w:left w:val="single" w:color="DDDDDD" w:sz="1"/>
              <w:bottom w:val="single" w:color="DDDDDD" w:sz="1"/>
              <w:right w:val="single" w:color="DDDDDD" w:sz="1"/>
            </w:tcBorders>
            <w:shd w:fill="EE3030" w:val="clear"/>
            <w:tcMar>
              <w:top w:type="dxa" w:w="80"/>
              <w:left w:type="dxa" w:w="120"/>
              <w:bottom w:type="dxa" w:w="80"/>
              <w:right w:type="dxa" w:w="120"/>
            </w:tcMar>
            <w:vAlign w:val="center"/>
          </w:tcPr>
          <w:p>
            <w:r>
              <w:rPr>
                <w:b/>
                <w:bCs/>
                <w:color w:val="FFFFFF"/>
                <w:sz w:val="20"/>
                <w:szCs w:val="20"/>
              </w:rPr>
              <w:t xml:space="preserve">What we track</w:t>
            </w:r>
          </w:p>
        </w:tc>
        <w:tc>
          <w:tcPr>
            <w:tcW w:type="dxa" w:w="3120"/>
            <w:tcBorders>
              <w:top w:val="single" w:color="DDDDDD" w:sz="1"/>
              <w:left w:val="single" w:color="DDDDDD" w:sz="1"/>
              <w:bottom w:val="single" w:color="DDDDDD" w:sz="1"/>
              <w:right w:val="single" w:color="DDDDDD" w:sz="1"/>
            </w:tcBorders>
            <w:shd w:fill="EE3030" w:val="clear"/>
            <w:tcMar>
              <w:top w:type="dxa" w:w="80"/>
              <w:left w:type="dxa" w:w="120"/>
              <w:bottom w:type="dxa" w:w="80"/>
              <w:right w:type="dxa" w:w="120"/>
            </w:tcMar>
            <w:vAlign w:val="center"/>
          </w:tcPr>
          <w:p>
            <w:r>
              <w:rPr>
                <w:b/>
                <w:bCs/>
                <w:color w:val="FFFFFF"/>
                <w:sz w:val="20"/>
                <w:szCs w:val="20"/>
              </w:rPr>
              <w:t xml:space="preserve">Target (first 6 months)</w:t>
            </w:r>
          </w:p>
        </w:tc>
      </w:tr>
      <w:tr>
        <w:tc>
          <w:tcPr>
            <w:tcW w:type="dxa" w:w="312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bCs/>
                <w:color w:val="1A1A1A"/>
                <w:sz w:val="20"/>
                <w:szCs w:val="20"/>
              </w:rPr>
              <w:t xml:space="preserve">Sponsor interest</w:t>
            </w:r>
          </w:p>
        </w:tc>
        <w:tc>
          <w:tcPr>
            <w:tcW w:type="dxa" w:w="312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val="false"/>
                <w:bCs w:val="false"/>
                <w:color w:val="1A1A1A"/>
                <w:sz w:val="20"/>
                <w:szCs w:val="20"/>
              </w:rPr>
              <w:t xml:space="preserve">Sponsorship enquiries + proposal downloads</w:t>
            </w:r>
          </w:p>
        </w:tc>
        <w:tc>
          <w:tcPr>
            <w:tcW w:type="dxa" w:w="312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val="false"/>
                <w:bCs w:val="false"/>
                <w:color w:val="1A1A1A"/>
                <w:sz w:val="20"/>
                <w:szCs w:val="20"/>
              </w:rPr>
              <w:t xml:space="preserve">Steady monthly enquiries; proposal downloaded regularly</w:t>
            </w:r>
          </w:p>
        </w:tc>
      </w:tr>
      <w:tr>
        <w:tc>
          <w:tcPr>
            <w:tcW w:type="dxa" w:w="312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bCs/>
                <w:color w:val="1A1A1A"/>
                <w:sz w:val="20"/>
                <w:szCs w:val="20"/>
              </w:rPr>
              <w:t xml:space="preserve">Registration</w:t>
            </w:r>
          </w:p>
        </w:tc>
        <w:tc>
          <w:tcPr>
            <w:tcW w:type="dxa" w:w="312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Trial / sign-up form submissions</w:t>
            </w:r>
          </w:p>
        </w:tc>
        <w:tc>
          <w:tcPr>
            <w:tcW w:type="dxa" w:w="312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A reliable inbound channel for new players</w:t>
            </w:r>
          </w:p>
        </w:tc>
      </w:tr>
      <w:tr>
        <w:tc>
          <w:tcPr>
            <w:tcW w:type="dxa" w:w="312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bCs/>
                <w:color w:val="1A1A1A"/>
                <w:sz w:val="20"/>
                <w:szCs w:val="20"/>
              </w:rPr>
              <w:t xml:space="preserve">Reach</w:t>
            </w:r>
          </w:p>
        </w:tc>
        <w:tc>
          <w:tcPr>
            <w:tcW w:type="dxa" w:w="312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val="false"/>
                <w:bCs w:val="false"/>
                <w:color w:val="1A1A1A"/>
                <w:sz w:val="20"/>
                <w:szCs w:val="20"/>
              </w:rPr>
              <w:t xml:space="preserve">Monthly visitors and returning visitors</w:t>
            </w:r>
          </w:p>
        </w:tc>
        <w:tc>
          <w:tcPr>
            <w:tcW w:type="dxa" w:w="312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val="false"/>
                <w:bCs w:val="false"/>
                <w:color w:val="1A1A1A"/>
                <w:sz w:val="20"/>
                <w:szCs w:val="20"/>
              </w:rPr>
              <w:t xml:space="preserve">Month-on-month growth</w:t>
            </w:r>
          </w:p>
        </w:tc>
      </w:tr>
      <w:tr>
        <w:tc>
          <w:tcPr>
            <w:tcW w:type="dxa" w:w="312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bCs/>
                <w:color w:val="1A1A1A"/>
                <w:sz w:val="20"/>
                <w:szCs w:val="20"/>
              </w:rPr>
              <w:t xml:space="preserve">Engagement</w:t>
            </w:r>
          </w:p>
        </w:tc>
        <w:tc>
          <w:tcPr>
            <w:tcW w:type="dxa" w:w="312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Time on Programmes &amp; Sponsors pages</w:t>
            </w:r>
          </w:p>
        </w:tc>
        <w:tc>
          <w:tcPr>
            <w:tcW w:type="dxa" w:w="312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Above-average dwell time on key pages</w:t>
            </w:r>
          </w:p>
        </w:tc>
      </w:tr>
      <w:tr>
        <w:tc>
          <w:tcPr>
            <w:tcW w:type="dxa" w:w="312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bCs/>
                <w:color w:val="1A1A1A"/>
                <w:sz w:val="20"/>
                <w:szCs w:val="20"/>
              </w:rPr>
              <w:t xml:space="preserve">Credibility</w:t>
            </w:r>
          </w:p>
        </w:tc>
        <w:tc>
          <w:tcPr>
            <w:tcW w:type="dxa" w:w="312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val="false"/>
                <w:bCs w:val="false"/>
                <w:color w:val="1A1A1A"/>
                <w:sz w:val="20"/>
                <w:szCs w:val="20"/>
              </w:rPr>
              <w:t xml:space="preserve">Social follows and content shares from the site</w:t>
            </w:r>
          </w:p>
        </w:tc>
        <w:tc>
          <w:tcPr>
            <w:tcW w:type="dxa" w:w="312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val="false"/>
                <w:bCs w:val="false"/>
                <w:color w:val="1A1A1A"/>
                <w:sz w:val="20"/>
                <w:szCs w:val="20"/>
              </w:rPr>
              <w:t xml:space="preserve">Growing Instagram audience driven from the site</w:t>
            </w:r>
          </w:p>
        </w:tc>
      </w:tr>
    </w:tbl>
    <w:p>
      <w:pPr>
        <w:spacing w:after="80"/>
      </w:pPr>
      <w:r>
        <w:t xml:space="preserve"/>
      </w:r>
    </w:p>
    <w:p>
      <w:pPr>
        <w:spacing w:after="140" w:line="276"/>
      </w:pPr>
      <w:r>
        <w:rPr>
          <w:i/>
          <w:iCs/>
          <w:color w:val="595959"/>
          <w:sz w:val="20"/>
          <w:szCs w:val="20"/>
        </w:rPr>
        <w:t xml:space="preserve">These targets are intentionally directional rather than rigid. They exist so that, three and six months after launch, we can look at real numbers and decide what to improve next.</w:t>
      </w:r>
    </w:p>
    <w:p>
      <w:pPr>
        <w:pStyle w:val="Heading1"/>
        <w:pageBreakBefore/>
      </w:pPr>
      <w:r>
        <w:t xml:space="preserve">3. Who the site is for</w:t>
      </w:r>
    </w:p>
    <w:p>
      <w:pPr>
        <w:spacing w:after="140" w:line="276"/>
      </w:pPr>
      <w:r>
        <w:t xml:space="preserve">Three audiences matter most. Every page should be checked against the question: does this serve at least one of these groups, and is it obvious what they should do next?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60"/>
        <w:gridCol w:w="3100"/>
      </w:tblGrid>
      <w:tr>
        <w:trPr>
          <w:tblHeader/>
        </w:trPr>
        <w:tc>
          <w:tcPr>
            <w:tcW w:type="dxa" w:w="2200"/>
            <w:tcBorders>
              <w:top w:val="single" w:color="DDDDDD" w:sz="1"/>
              <w:left w:val="single" w:color="DDDDDD" w:sz="1"/>
              <w:bottom w:val="single" w:color="DDDDDD" w:sz="1"/>
              <w:right w:val="single" w:color="DDDDDD" w:sz="1"/>
            </w:tcBorders>
            <w:shd w:fill="EE3030" w:val="clear"/>
            <w:tcMar>
              <w:top w:type="dxa" w:w="80"/>
              <w:left w:type="dxa" w:w="120"/>
              <w:bottom w:type="dxa" w:w="80"/>
              <w:right w:type="dxa" w:w="120"/>
            </w:tcMar>
            <w:vAlign w:val="center"/>
          </w:tcPr>
          <w:p>
            <w:r>
              <w:rPr>
                <w:b/>
                <w:bCs/>
                <w:color w:val="FFFFFF"/>
                <w:sz w:val="20"/>
                <w:szCs w:val="20"/>
              </w:rPr>
              <w:t xml:space="preserve">Audience</w:t>
            </w:r>
          </w:p>
        </w:tc>
        <w:tc>
          <w:tcPr>
            <w:tcW w:type="dxa" w:w="4060"/>
            <w:tcBorders>
              <w:top w:val="single" w:color="DDDDDD" w:sz="1"/>
              <w:left w:val="single" w:color="DDDDDD" w:sz="1"/>
              <w:bottom w:val="single" w:color="DDDDDD" w:sz="1"/>
              <w:right w:val="single" w:color="DDDDDD" w:sz="1"/>
            </w:tcBorders>
            <w:shd w:fill="EE3030" w:val="clear"/>
            <w:tcMar>
              <w:top w:type="dxa" w:w="80"/>
              <w:left w:type="dxa" w:w="120"/>
              <w:bottom w:type="dxa" w:w="80"/>
              <w:right w:type="dxa" w:w="120"/>
            </w:tcMar>
            <w:vAlign w:val="center"/>
          </w:tcPr>
          <w:p>
            <w:r>
              <w:rPr>
                <w:b/>
                <w:bCs/>
                <w:color w:val="FFFFFF"/>
                <w:sz w:val="20"/>
                <w:szCs w:val="20"/>
              </w:rPr>
              <w:t xml:space="preserve">What they want</w:t>
            </w:r>
          </w:p>
        </w:tc>
        <w:tc>
          <w:tcPr>
            <w:tcW w:type="dxa" w:w="3100"/>
            <w:tcBorders>
              <w:top w:val="single" w:color="DDDDDD" w:sz="1"/>
              <w:left w:val="single" w:color="DDDDDD" w:sz="1"/>
              <w:bottom w:val="single" w:color="DDDDDD" w:sz="1"/>
              <w:right w:val="single" w:color="DDDDDD" w:sz="1"/>
            </w:tcBorders>
            <w:shd w:fill="EE3030" w:val="clear"/>
            <w:tcMar>
              <w:top w:type="dxa" w:w="80"/>
              <w:left w:type="dxa" w:w="120"/>
              <w:bottom w:type="dxa" w:w="80"/>
              <w:right w:type="dxa" w:w="120"/>
            </w:tcMar>
            <w:vAlign w:val="center"/>
          </w:tcPr>
          <w:p>
            <w:r>
              <w:rPr>
                <w:b/>
                <w:bCs/>
                <w:color w:val="FFFFFF"/>
                <w:sz w:val="20"/>
                <w:szCs w:val="20"/>
              </w:rPr>
              <w:t xml:space="preserve">What we want them to do</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bCs/>
                <w:color w:val="1A1A1A"/>
                <w:sz w:val="20"/>
                <w:szCs w:val="20"/>
              </w:rPr>
              <w:t xml:space="preserve">Sponsors &amp; partners (businesses, CSI managers, local entrepreneurs)</w:t>
            </w:r>
          </w:p>
        </w:tc>
        <w:tc>
          <w:tcPr>
            <w:tcW w:type="dxa" w:w="4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val="false"/>
                <w:bCs w:val="false"/>
                <w:color w:val="1A1A1A"/>
                <w:sz w:val="20"/>
                <w:szCs w:val="20"/>
              </w:rPr>
              <w:t xml:space="preserve">Proof the academy is real, well-run and impactful; clear packages; easy contact; brand exposure they can see.</w:t>
            </w:r>
          </w:p>
        </w:tc>
        <w:tc>
          <w:tcPr>
            <w:tcW w:type="dxa" w:w="31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val="false"/>
                <w:bCs w:val="false"/>
                <w:color w:val="1A1A1A"/>
                <w:sz w:val="20"/>
                <w:szCs w:val="20"/>
              </w:rPr>
              <w:t xml:space="preserve">Read the impact, view sponsorship tiers, download the proposal, and make contact.</w:t>
            </w:r>
          </w:p>
        </w:tc>
      </w:tr>
      <w:tr>
        <w:tc>
          <w:tcPr>
            <w:tcW w:type="dxa" w:w="220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bCs/>
                <w:color w:val="1A1A1A"/>
                <w:sz w:val="20"/>
                <w:szCs w:val="20"/>
              </w:rPr>
              <w:t xml:space="preserve">Parents &amp; prospective players</w:t>
            </w:r>
          </w:p>
        </w:tc>
        <w:tc>
          <w:tcPr>
            <w:tcW w:type="dxa" w:w="406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Is this right for my child? Which age group, where, when, how much, how do we join?</w:t>
            </w:r>
          </w:p>
        </w:tc>
        <w:tc>
          <w:tcPr>
            <w:tcW w:type="dxa" w:w="310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Understand the programme and submit a trial / registration enquiry.</w:t>
            </w:r>
          </w:p>
        </w:tc>
      </w:tr>
      <w:tr>
        <w:tc>
          <w:tcPr>
            <w:tcW w:type="dxa" w:w="2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bCs/>
                <w:color w:val="1A1A1A"/>
                <w:sz w:val="20"/>
                <w:szCs w:val="20"/>
              </w:rPr>
              <w:t xml:space="preserve">Community &amp; supporters (current families, local fans, media)</w:t>
            </w:r>
          </w:p>
        </w:tc>
        <w:tc>
          <w:tcPr>
            <w:tcW w:type="dxa" w:w="40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val="false"/>
                <w:bCs w:val="false"/>
                <w:color w:val="1A1A1A"/>
                <w:sz w:val="20"/>
                <w:szCs w:val="20"/>
              </w:rPr>
              <w:t xml:space="preserve">Stay connected — fixtures, results, photos, news, and ways to support.</w:t>
            </w:r>
          </w:p>
        </w:tc>
        <w:tc>
          <w:tcPr>
            <w:tcW w:type="dxa" w:w="31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val="false"/>
                <w:bCs w:val="false"/>
                <w:color w:val="1A1A1A"/>
                <w:sz w:val="20"/>
                <w:szCs w:val="20"/>
              </w:rPr>
              <w:t xml:space="preserve">Follow on social, share content, attend events, buy merchandise.</w:t>
            </w:r>
          </w:p>
        </w:tc>
      </w:tr>
    </w:tbl>
    <w:p>
      <w:pPr>
        <w:pStyle w:val="Heading1"/>
        <w:pageBreakBefore/>
      </w:pPr>
      <w:r>
        <w:t xml:space="preserve">4. Brand &amp; visual identity</w:t>
      </w:r>
    </w:p>
    <w:p>
      <w:pPr>
        <w:spacing w:after="140" w:line="276"/>
      </w:pPr>
      <w:r>
        <w:t xml:space="preserve">A consistent, confident visual identity is the single biggest lever for looking professional. The good news: GKSA already has a complete brand asset pack (logo, favicons, social images, and a web manifest). The site should be built directly on these assets so the brand is consistent everywhere.</w:t>
      </w:r>
    </w:p>
    <w:p>
      <w:pPr>
        <w:pStyle w:val="Heading2"/>
      </w:pPr>
      <w:r>
        <w:t xml:space="preserve">Colour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5260"/>
      </w:tblGrid>
      <w:tr>
        <w:trPr>
          <w:tblHeader/>
        </w:trPr>
        <w:tc>
          <w:tcPr>
            <w:tcW w:type="dxa" w:w="2400"/>
            <w:tcBorders>
              <w:top w:val="single" w:color="DDDDDD" w:sz="1"/>
              <w:left w:val="single" w:color="DDDDDD" w:sz="1"/>
              <w:bottom w:val="single" w:color="DDDDDD" w:sz="1"/>
              <w:right w:val="single" w:color="DDDDDD" w:sz="1"/>
            </w:tcBorders>
            <w:shd w:fill="EE3030" w:val="clear"/>
            <w:tcMar>
              <w:top w:type="dxa" w:w="80"/>
              <w:left w:type="dxa" w:w="120"/>
              <w:bottom w:type="dxa" w:w="80"/>
              <w:right w:type="dxa" w:w="120"/>
            </w:tcMar>
            <w:vAlign w:val="center"/>
          </w:tcPr>
          <w:p>
            <w:r>
              <w:rPr>
                <w:b/>
                <w:bCs/>
                <w:color w:val="FFFFFF"/>
                <w:sz w:val="20"/>
                <w:szCs w:val="20"/>
              </w:rPr>
              <w:t xml:space="preserve">Role</w:t>
            </w:r>
          </w:p>
        </w:tc>
        <w:tc>
          <w:tcPr>
            <w:tcW w:type="dxa" w:w="1700"/>
            <w:tcBorders>
              <w:top w:val="single" w:color="DDDDDD" w:sz="1"/>
              <w:left w:val="single" w:color="DDDDDD" w:sz="1"/>
              <w:bottom w:val="single" w:color="DDDDDD" w:sz="1"/>
              <w:right w:val="single" w:color="DDDDDD" w:sz="1"/>
            </w:tcBorders>
            <w:shd w:fill="EE3030" w:val="clear"/>
            <w:tcMar>
              <w:top w:type="dxa" w:w="80"/>
              <w:left w:type="dxa" w:w="120"/>
              <w:bottom w:type="dxa" w:w="80"/>
              <w:right w:type="dxa" w:w="120"/>
            </w:tcMar>
            <w:vAlign w:val="center"/>
          </w:tcPr>
          <w:p>
            <w:r>
              <w:rPr>
                <w:b/>
                <w:bCs/>
                <w:color w:val="FFFFFF"/>
                <w:sz w:val="20"/>
                <w:szCs w:val="20"/>
              </w:rPr>
              <w:t xml:space="preserve">Value</w:t>
            </w:r>
          </w:p>
        </w:tc>
        <w:tc>
          <w:tcPr>
            <w:tcW w:type="dxa" w:w="5260"/>
            <w:tcBorders>
              <w:top w:val="single" w:color="DDDDDD" w:sz="1"/>
              <w:left w:val="single" w:color="DDDDDD" w:sz="1"/>
              <w:bottom w:val="single" w:color="DDDDDD" w:sz="1"/>
              <w:right w:val="single" w:color="DDDDDD" w:sz="1"/>
            </w:tcBorders>
            <w:shd w:fill="EE3030" w:val="clear"/>
            <w:tcMar>
              <w:top w:type="dxa" w:w="80"/>
              <w:left w:type="dxa" w:w="120"/>
              <w:bottom w:type="dxa" w:w="80"/>
              <w:right w:type="dxa" w:w="120"/>
            </w:tcMar>
            <w:vAlign w:val="center"/>
          </w:tcPr>
          <w:p>
            <w:r>
              <w:rPr>
                <w:b/>
                <w:bCs/>
                <w:color w:val="FFFFFF"/>
                <w:sz w:val="20"/>
                <w:szCs w:val="20"/>
              </w:rPr>
              <w:t xml:space="preserve">Use</w:t>
            </w:r>
          </w:p>
        </w:tc>
      </w:tr>
      <w:tr>
        <w:tc>
          <w:tcPr>
            <w:tcW w:type="dxa" w:w="240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Primary red</w:t>
            </w:r>
          </w:p>
        </w:tc>
        <w:tc>
          <w:tcPr>
            <w:tcW w:type="dxa" w:w="170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#EE3030</w:t>
            </w:r>
          </w:p>
        </w:tc>
        <w:tc>
          <w:tcPr>
            <w:tcW w:type="dxa" w:w="526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Headlines, buttons, links, key highlights, the knight crest</w:t>
            </w:r>
          </w:p>
        </w:tc>
      </w:tr>
      <w:tr>
        <w:tc>
          <w:tcPr>
            <w:tcW w:type="dxa" w:w="240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Near-black</w:t>
            </w:r>
          </w:p>
        </w:tc>
        <w:tc>
          <w:tcPr>
            <w:tcW w:type="dxa" w:w="170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#1A1A1A</w:t>
            </w:r>
          </w:p>
        </w:tc>
        <w:tc>
          <w:tcPr>
            <w:tcW w:type="dxa" w:w="526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Body text and headings on light backgrounds</w:t>
            </w:r>
          </w:p>
        </w:tc>
      </w:tr>
      <w:tr>
        <w:tc>
          <w:tcPr>
            <w:tcW w:type="dxa" w:w="240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Slate grey</w:t>
            </w:r>
          </w:p>
        </w:tc>
        <w:tc>
          <w:tcPr>
            <w:tcW w:type="dxa" w:w="170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#595959</w:t>
            </w:r>
          </w:p>
        </w:tc>
        <w:tc>
          <w:tcPr>
            <w:tcW w:type="dxa" w:w="526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Secondary text, captions, fine print</w:t>
            </w:r>
          </w:p>
        </w:tc>
      </w:tr>
      <w:tr>
        <w:tc>
          <w:tcPr>
            <w:tcW w:type="dxa" w:w="240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White / off-white</w:t>
            </w:r>
          </w:p>
        </w:tc>
        <w:tc>
          <w:tcPr>
            <w:tcW w:type="dxa" w:w="170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#FFFFFF / #F2F2F2</w:t>
            </w:r>
          </w:p>
        </w:tc>
        <w:tc>
          <w:tcPr>
            <w:tcW w:type="dxa" w:w="526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Backgrounds and breathing room</w:t>
            </w:r>
          </w:p>
        </w:tc>
      </w:tr>
    </w:tbl>
    <w:p>
      <w:pPr>
        <w:spacing w:after="80"/>
      </w:pPr>
      <w:r>
        <w:t xml:space="preserve"/>
      </w:r>
    </w:p>
    <w:p>
      <w:pPr>
        <w:spacing w:after="140" w:line="276"/>
      </w:pPr>
      <w:r>
        <w:t xml:space="preserve">The brand red #EE3030 is already defined as the theme colour in the asset pack's web manifest and HTML head tags — the site should use exactly this value so browser UI, mobile home-screen icons, and the site all match.</w:t>
      </w:r>
    </w:p>
    <w:p>
      <w:pPr>
        <w:pStyle w:val="Heading2"/>
      </w:pPr>
      <w:r>
        <w:t xml:space="preserve">Logo</w:t>
      </w:r>
    </w:p>
    <w:p>
      <w:pPr>
        <w:pStyle w:val="ListParagraph"/>
        <w:numPr>
          <w:ilvl w:val="0"/>
          <w:numId w:val="2"/>
        </w:numPr>
        <w:spacing w:after="60" w:line="270"/>
      </w:pPr>
      <w:r>
        <w:rPr>
          <w:b/>
          <w:bCs/>
          <w:color w:val="1A1A1A"/>
        </w:rPr>
        <w:t xml:space="preserve">White knight crest </w:t>
      </w:r>
      <w:r>
        <w:t xml:space="preserve">for use on the red brand background and on photos (the asset pack's main mark).</w:t>
      </w:r>
    </w:p>
    <w:p>
      <w:pPr>
        <w:pStyle w:val="ListParagraph"/>
        <w:numPr>
          <w:ilvl w:val="0"/>
          <w:numId w:val="2"/>
        </w:numPr>
        <w:spacing w:after="60" w:line="270"/>
      </w:pPr>
      <w:r>
        <w:rPr>
          <w:b/>
          <w:bCs/>
          <w:color w:val="1A1A1A"/>
        </w:rPr>
        <w:t xml:space="preserve">Transparent and dark variants </w:t>
      </w:r>
      <w:r>
        <w:t xml:space="preserve">for white sections, the favicon, and the footer.</w:t>
      </w:r>
    </w:p>
    <w:p>
      <w:pPr>
        <w:pStyle w:val="ListParagraph"/>
        <w:numPr>
          <w:ilvl w:val="0"/>
          <w:numId w:val="2"/>
        </w:numPr>
        <w:spacing w:after="60" w:line="270"/>
      </w:pPr>
      <w:r>
        <w:rPr>
          <w:b/>
          <w:bCs/>
          <w:color w:val="1A1A1A"/>
        </w:rPr>
        <w:t xml:space="preserve">Clear space and minimum size </w:t>
      </w:r>
      <w:r>
        <w:t xml:space="preserve">should be respected so the crest never looks cramped; never stretch or recolour it.</w:t>
      </w:r>
    </w:p>
    <w:p>
      <w:pPr>
        <w:pStyle w:val="Heading2"/>
      </w:pPr>
      <w:r>
        <w:t xml:space="preserve">Tone &amp; photography</w:t>
      </w:r>
    </w:p>
    <w:p>
      <w:pPr>
        <w:spacing w:after="140" w:line="276"/>
      </w:pPr>
      <w:r>
        <w:t xml:space="preserve">The tone is aspirational but grounded — “youth development, community, excellence,” not corporate jargon. Photography should lead the site: real training sessions, match days, team photos, and the coaches. The academy's existing match-day and team photographs should be used generously, with a consistent treatment (a subtle red or dark overlay where text sits on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DDDD" w:sz="1"/>
              <w:left w:val="single" w:color="EE3030" w:sz="18"/>
              <w:bottom w:val="single" w:color="EEDDDD" w:sz="1"/>
              <w:right w:val="single" w:color="EEDDDD" w:sz="1"/>
            </w:tcBorders>
            <w:shd w:fill="FBE0E0" w:val="clear"/>
            <w:tcMar>
              <w:top w:type="dxa" w:w="120"/>
              <w:left w:type="dxa" w:w="200"/>
              <w:bottom w:type="dxa" w:w="120"/>
              <w:right w:type="dxa" w:w="160"/>
            </w:tcMar>
          </w:tcPr>
          <w:p>
            <w:pPr>
              <w:spacing w:after="60"/>
            </w:pPr>
            <w:r>
              <w:rPr>
                <w:b/>
                <w:bCs/>
                <w:color w:val="EE3030"/>
                <w:sz w:val="22"/>
                <w:szCs w:val="22"/>
              </w:rPr>
              <w:t xml:space="preserve">Already in hand (asset pack)</w:t>
            </w:r>
          </w:p>
          <w:p>
            <w:pPr>
              <w:spacing w:after="40" w:line="264"/>
            </w:pPr>
            <w:r>
              <w:rPr>
                <w:color w:val="1A1A1A"/>
                <w:sz w:val="20"/>
                <w:szCs w:val="20"/>
              </w:rPr>
              <w:t xml:space="preserve">Logo in multiple formats (SVG + PNG, white / transparent / dark), full favicon set, and Apple / Android home-screen icons.</w:t>
            </w:r>
          </w:p>
          <w:p>
            <w:pPr>
              <w:spacing w:after="40" w:line="264"/>
            </w:pPr>
            <w:r>
              <w:rPr>
                <w:color w:val="1A1A1A"/>
                <w:sz w:val="20"/>
                <w:szCs w:val="20"/>
              </w:rPr>
              <w:t xml:space="preserve">Pre-made social sharing images (Open Graph 1200×630 and Twitter card 1200×675) so links shared on WhatsApp, Facebook and X look designed.</w:t>
            </w:r>
          </w:p>
          <w:p>
            <w:pPr>
              <w:spacing w:after="40" w:line="264"/>
            </w:pPr>
            <w:r>
              <w:rPr>
                <w:color w:val="1A1A1A"/>
                <w:sz w:val="20"/>
                <w:szCs w:val="20"/>
              </w:rPr>
              <w:t xml:space="preserve">A ready-to-use web manifest, browserconfig, and the exact HTML head tags to drop into the site.</w:t>
            </w:r>
          </w:p>
        </w:tc>
      </w:tr>
    </w:tbl>
    <w:p>
      <w:pPr>
        <w:pStyle w:val="Heading1"/>
        <w:pageBreakBefore/>
      </w:pPr>
      <w:r>
        <w:t xml:space="preserve">5. Sitemap</w:t>
      </w:r>
    </w:p>
    <w:p>
      <w:pPr>
        <w:spacing w:after="140" w:line="276"/>
      </w:pPr>
      <w:r>
        <w:t xml:space="preserve">The site is intentionally focused. A grassroots academy site works best when it is easy to navigate and every page earns its place. The recommended structure below balances the sponsor journey and the parent journey, with a clear primary navigation and a small set of supporting pages.</w:t>
      </w:r>
    </w:p>
    <w:p>
      <w:pPr>
        <w:pStyle w:val="Heading2"/>
      </w:pPr>
      <w:r>
        <w:t xml:space="preserve">Primary navigation</w:t>
      </w:r>
    </w:p>
    <w:p>
      <w:pPr>
        <w:spacing w:after="140" w:line="276"/>
      </w:pPr>
      <w:r>
        <w:rPr>
          <w:b/>
          <w:bCs/>
          <w:color w:val="1A1A1A"/>
        </w:rPr>
        <w:t xml:space="preserve">Home  •  About  •  Programmes  •  Teams &amp; Fixtures  •  Gallery  •  News  •  Sponsors  •  Contact</w:t>
      </w:r>
    </w:p>
    <w:p>
      <w:pPr>
        <w:spacing w:after="140" w:line="276"/>
      </w:pPr>
      <w:r>
        <w:rPr>
          <w:color w:val="595959"/>
          <w:sz w:val="20"/>
          <w:szCs w:val="20"/>
        </w:rPr>
        <w:t xml:space="preserve">Persistent call-to-action buttons in the header: “Register / Join” and “Become a Sponsor” — visible on every page.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DDDDDD" w:sz="1"/>
              <w:left w:val="single" w:color="DDDDDD" w:sz="1"/>
              <w:bottom w:val="single" w:color="DDDDDD" w:sz="1"/>
              <w:right w:val="single" w:color="DDDDDD" w:sz="1"/>
            </w:tcBorders>
            <w:shd w:fill="EE3030" w:val="clear"/>
            <w:tcMar>
              <w:top w:type="dxa" w:w="80"/>
              <w:left w:type="dxa" w:w="120"/>
              <w:bottom w:type="dxa" w:w="80"/>
              <w:right w:type="dxa" w:w="120"/>
            </w:tcMar>
            <w:vAlign w:val="center"/>
          </w:tcPr>
          <w:p>
            <w:r>
              <w:rPr>
                <w:b/>
                <w:bCs/>
                <w:color w:val="FFFFFF"/>
                <w:sz w:val="20"/>
                <w:szCs w:val="20"/>
              </w:rPr>
              <w:t xml:space="preserve">Page</w:t>
            </w:r>
          </w:p>
        </w:tc>
        <w:tc>
          <w:tcPr>
            <w:tcW w:type="dxa" w:w="4000"/>
            <w:tcBorders>
              <w:top w:val="single" w:color="DDDDDD" w:sz="1"/>
              <w:left w:val="single" w:color="DDDDDD" w:sz="1"/>
              <w:bottom w:val="single" w:color="DDDDDD" w:sz="1"/>
              <w:right w:val="single" w:color="DDDDDD" w:sz="1"/>
            </w:tcBorders>
            <w:shd w:fill="EE3030" w:val="clear"/>
            <w:tcMar>
              <w:top w:type="dxa" w:w="80"/>
              <w:left w:type="dxa" w:w="120"/>
              <w:bottom w:type="dxa" w:w="80"/>
              <w:right w:type="dxa" w:w="120"/>
            </w:tcMar>
            <w:vAlign w:val="center"/>
          </w:tcPr>
          <w:p>
            <w:r>
              <w:rPr>
                <w:b/>
                <w:bCs/>
                <w:color w:val="FFFFFF"/>
                <w:sz w:val="20"/>
                <w:szCs w:val="20"/>
              </w:rPr>
              <w:t xml:space="preserve">Purpose</w:t>
            </w:r>
          </w:p>
        </w:tc>
        <w:tc>
          <w:tcPr>
            <w:tcW w:type="dxa" w:w="2960"/>
            <w:tcBorders>
              <w:top w:val="single" w:color="DDDDDD" w:sz="1"/>
              <w:left w:val="single" w:color="DDDDDD" w:sz="1"/>
              <w:bottom w:val="single" w:color="DDDDDD" w:sz="1"/>
              <w:right w:val="single" w:color="DDDDDD" w:sz="1"/>
            </w:tcBorders>
            <w:shd w:fill="EE3030" w:val="clear"/>
            <w:tcMar>
              <w:top w:type="dxa" w:w="80"/>
              <w:left w:type="dxa" w:w="120"/>
              <w:bottom w:type="dxa" w:w="80"/>
              <w:right w:type="dxa" w:w="120"/>
            </w:tcMar>
            <w:vAlign w:val="center"/>
          </w:tcPr>
          <w:p>
            <w:r>
              <w:rPr>
                <w:b/>
                <w:bCs/>
                <w:color w:val="FFFFFF"/>
                <w:sz w:val="20"/>
                <w:szCs w:val="20"/>
              </w:rPr>
              <w:t xml:space="preserve">Priority audience</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bCs/>
                <w:color w:val="1A1A1A"/>
                <w:sz w:val="20"/>
                <w:szCs w:val="20"/>
              </w:rPr>
              <w:t xml:space="preserve">Home</w:t>
            </w:r>
          </w:p>
        </w:tc>
        <w:tc>
          <w:tcPr>
            <w:tcW w:type="dxa" w:w="4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val="false"/>
                <w:bCs w:val="false"/>
                <w:color w:val="1A1A1A"/>
                <w:sz w:val="20"/>
                <w:szCs w:val="20"/>
              </w:rPr>
              <w:t xml:space="preserve">Snapshot of who GKSA is; routes visitors to the right place fast</w:t>
            </w:r>
          </w:p>
        </w:tc>
        <w:tc>
          <w:tcPr>
            <w:tcW w:type="dxa" w:w="2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val="false"/>
                <w:bCs w:val="false"/>
                <w:color w:val="1A1A1A"/>
                <w:sz w:val="20"/>
                <w:szCs w:val="20"/>
              </w:rPr>
              <w:t xml:space="preserve">All</w:t>
            </w:r>
          </w:p>
        </w:tc>
      </w:tr>
      <w:tr>
        <w:tc>
          <w:tcPr>
            <w:tcW w:type="dxa" w:w="240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bCs/>
                <w:color w:val="1A1A1A"/>
                <w:sz w:val="20"/>
                <w:szCs w:val="20"/>
              </w:rPr>
              <w:t xml:space="preserve">About</w:t>
            </w:r>
          </w:p>
        </w:tc>
        <w:tc>
          <w:tcPr>
            <w:tcW w:type="dxa" w:w="400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Story, vision, mission, values, coaches, media coverage</w:t>
            </w:r>
          </w:p>
        </w:tc>
        <w:tc>
          <w:tcPr>
            <w:tcW w:type="dxa" w:w="296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Sponsors + Parents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bCs/>
                <w:color w:val="1A1A1A"/>
                <w:sz w:val="20"/>
                <w:szCs w:val="20"/>
              </w:rPr>
              <w:t xml:space="preserve">Programmes</w:t>
            </w:r>
          </w:p>
        </w:tc>
        <w:tc>
          <w:tcPr>
            <w:tcW w:type="dxa" w:w="4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val="false"/>
                <w:bCs w:val="false"/>
                <w:color w:val="1A1A1A"/>
                <w:sz w:val="20"/>
                <w:szCs w:val="20"/>
              </w:rPr>
              <w:t xml:space="preserve">Age groups, what training involves, how to join, fees/trials</w:t>
            </w:r>
          </w:p>
        </w:tc>
        <w:tc>
          <w:tcPr>
            <w:tcW w:type="dxa" w:w="2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val="false"/>
                <w:bCs w:val="false"/>
                <w:color w:val="1A1A1A"/>
                <w:sz w:val="20"/>
                <w:szCs w:val="20"/>
              </w:rPr>
              <w:t xml:space="preserve">Parents</w:t>
            </w:r>
          </w:p>
        </w:tc>
      </w:tr>
      <w:tr>
        <w:tc>
          <w:tcPr>
            <w:tcW w:type="dxa" w:w="240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bCs/>
                <w:color w:val="1A1A1A"/>
                <w:sz w:val="20"/>
                <w:szCs w:val="20"/>
              </w:rPr>
              <w:t xml:space="preserve">Teams &amp; Fixtures</w:t>
            </w:r>
          </w:p>
        </w:tc>
        <w:tc>
          <w:tcPr>
            <w:tcW w:type="dxa" w:w="400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Squads, league participation, fixtures &amp; results</w:t>
            </w:r>
          </w:p>
        </w:tc>
        <w:tc>
          <w:tcPr>
            <w:tcW w:type="dxa" w:w="296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Community + Parents</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bCs/>
                <w:color w:val="1A1A1A"/>
                <w:sz w:val="20"/>
                <w:szCs w:val="20"/>
              </w:rPr>
              <w:t xml:space="preserve">Gallery</w:t>
            </w:r>
          </w:p>
        </w:tc>
        <w:tc>
          <w:tcPr>
            <w:tcW w:type="dxa" w:w="4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val="false"/>
                <w:bCs w:val="false"/>
                <w:color w:val="1A1A1A"/>
                <w:sz w:val="20"/>
                <w:szCs w:val="20"/>
              </w:rPr>
              <w:t xml:space="preserve">Photo &amp; video showcase of academy life</w:t>
            </w:r>
          </w:p>
        </w:tc>
        <w:tc>
          <w:tcPr>
            <w:tcW w:type="dxa" w:w="2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val="false"/>
                <w:bCs w:val="false"/>
                <w:color w:val="1A1A1A"/>
                <w:sz w:val="20"/>
                <w:szCs w:val="20"/>
              </w:rPr>
              <w:t xml:space="preserve">All</w:t>
            </w:r>
          </w:p>
        </w:tc>
      </w:tr>
      <w:tr>
        <w:tc>
          <w:tcPr>
            <w:tcW w:type="dxa" w:w="240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bCs/>
                <w:color w:val="1A1A1A"/>
                <w:sz w:val="20"/>
                <w:szCs w:val="20"/>
              </w:rPr>
              <w:t xml:space="preserve">News / Blog</w:t>
            </w:r>
          </w:p>
        </w:tc>
        <w:tc>
          <w:tcPr>
            <w:tcW w:type="dxa" w:w="400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Updates, match reports, achievements, announcements</w:t>
            </w:r>
          </w:p>
        </w:tc>
        <w:tc>
          <w:tcPr>
            <w:tcW w:type="dxa" w:w="296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Community</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bCs/>
                <w:color w:val="1A1A1A"/>
                <w:sz w:val="20"/>
                <w:szCs w:val="20"/>
              </w:rPr>
              <w:t xml:space="preserve">Sponsors &amp; Partners</w:t>
            </w:r>
          </w:p>
        </w:tc>
        <w:tc>
          <w:tcPr>
            <w:tcW w:type="dxa" w:w="4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val="false"/>
                <w:bCs w:val="false"/>
                <w:color w:val="1A1A1A"/>
                <w:sz w:val="20"/>
                <w:szCs w:val="20"/>
              </w:rPr>
              <w:t xml:space="preserve">Impact, sponsorship tiers, sponsor wall, become-a-sponsor</w:t>
            </w:r>
          </w:p>
        </w:tc>
        <w:tc>
          <w:tcPr>
            <w:tcW w:type="dxa" w:w="2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val="false"/>
                <w:bCs w:val="false"/>
                <w:color w:val="1A1A1A"/>
                <w:sz w:val="20"/>
                <w:szCs w:val="20"/>
              </w:rPr>
              <w:t xml:space="preserve">Sponsors</w:t>
            </w:r>
          </w:p>
        </w:tc>
      </w:tr>
      <w:tr>
        <w:tc>
          <w:tcPr>
            <w:tcW w:type="dxa" w:w="240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bCs/>
                <w:color w:val="1A1A1A"/>
                <w:sz w:val="20"/>
                <w:szCs w:val="20"/>
              </w:rPr>
              <w:t xml:space="preserve">Shop / Merchandise</w:t>
            </w:r>
          </w:p>
        </w:tc>
        <w:tc>
          <w:tcPr>
            <w:tcW w:type="dxa" w:w="400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Showcase academy merchandise (phase 2 — see roadmap)</w:t>
            </w:r>
          </w:p>
        </w:tc>
        <w:tc>
          <w:tcPr>
            <w:tcW w:type="dxa" w:w="296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Community</w:t>
            </w:r>
          </w:p>
        </w:tc>
      </w:tr>
      <w:tr>
        <w:tc>
          <w:tcPr>
            <w:tcW w:type="dxa" w:w="24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bCs/>
                <w:color w:val="1A1A1A"/>
                <w:sz w:val="20"/>
                <w:szCs w:val="20"/>
              </w:rPr>
              <w:t xml:space="preserve">Contact</w:t>
            </w:r>
          </w:p>
        </w:tc>
        <w:tc>
          <w:tcPr>
            <w:tcW w:type="dxa" w:w="4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val="false"/>
                <w:bCs w:val="false"/>
                <w:color w:val="1A1A1A"/>
                <w:sz w:val="20"/>
                <w:szCs w:val="20"/>
              </w:rPr>
              <w:t xml:space="preserve">Contact details, location, enquiry form, social links</w:t>
            </w:r>
          </w:p>
        </w:tc>
        <w:tc>
          <w:tcPr>
            <w:tcW w:type="dxa" w:w="29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val="false"/>
                <w:bCs w:val="false"/>
                <w:color w:val="1A1A1A"/>
                <w:sz w:val="20"/>
                <w:szCs w:val="20"/>
              </w:rPr>
              <w:t xml:space="preserve">All</w:t>
            </w:r>
          </w:p>
        </w:tc>
      </w:tr>
      <w:tr>
        <w:tc>
          <w:tcPr>
            <w:tcW w:type="dxa" w:w="240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bCs/>
                <w:color w:val="1A1A1A"/>
                <w:sz w:val="20"/>
                <w:szCs w:val="20"/>
              </w:rPr>
              <w:t xml:space="preserve">Register / Join</w:t>
            </w:r>
          </w:p>
        </w:tc>
        <w:tc>
          <w:tcPr>
            <w:tcW w:type="dxa" w:w="400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Dedicated sign-up / trial form (linked from header CTA)</w:t>
            </w:r>
          </w:p>
        </w:tc>
        <w:tc>
          <w:tcPr>
            <w:tcW w:type="dxa" w:w="296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Parents</w:t>
            </w:r>
          </w:p>
        </w:tc>
      </w:tr>
    </w:tbl>
    <w:p>
      <w:pPr>
        <w:spacing w:after="80"/>
      </w:pPr>
      <w:r>
        <w:t xml:space="preserve"/>
      </w:r>
    </w:p>
    <w:p>
      <w:pPr>
        <w:spacing w:after="140" w:line="276"/>
      </w:pPr>
      <w:r>
        <w:rPr>
          <w:color w:val="595959"/>
          <w:sz w:val="20"/>
          <w:szCs w:val="20"/>
        </w:rPr>
        <w:t xml:space="preserve">Footer (every page): logo, one-line mission, primary nav, contact details, social links, “Become a Sponsor” button, and a small “proudly developing youth football in Midrand since 2016” line.</w:t>
      </w:r>
    </w:p>
    <w:p>
      <w:pPr>
        <w:pStyle w:val="Heading1"/>
        <w:pageBreakBefore/>
      </w:pPr>
      <w:r>
        <w:t xml:space="preserve">6. Page-by-page content plan</w:t>
      </w:r>
    </w:p>
    <w:p>
      <w:pPr>
        <w:spacing w:after="140" w:line="276"/>
      </w:pPr>
      <w:r>
        <w:t xml:space="preserve">This is the working brief for each page — what it contains, section by section. It can be handed straight to a designer or developer.</w:t>
      </w:r>
    </w:p>
    <w:p>
      <w:pPr>
        <w:pStyle w:val="Heading2"/>
      </w:pPr>
      <w:r>
        <w:t xml:space="preserve">Home</w:t>
      </w:r>
    </w:p>
    <w:p>
      <w:pPr>
        <w:spacing w:after="140" w:line="276"/>
      </w:pPr>
      <w:r>
        <w:rPr>
          <w:color w:val="595959"/>
          <w:sz w:val="20"/>
          <w:szCs w:val="20"/>
        </w:rPr>
        <w:t xml:space="preserve">The home page must orient any visitor in seconds and send them down the right path.</w:t>
      </w:r>
    </w:p>
    <w:p>
      <w:pPr>
        <w:pStyle w:val="ListParagraph"/>
        <w:numPr>
          <w:ilvl w:val="0"/>
          <w:numId w:val="2"/>
        </w:numPr>
        <w:spacing w:after="60" w:line="270"/>
      </w:pPr>
      <w:r>
        <w:rPr>
          <w:b/>
          <w:bCs/>
          <w:color w:val="1A1A1A"/>
        </w:rPr>
        <w:t xml:space="preserve">Hero. </w:t>
      </w:r>
      <w:r>
        <w:t xml:space="preserve">Full-width image of the academy in action, the logo, a one-line positioning statement (e.g. “Developing Midrand's footballers since 2016”), and two buttons: “Join the Academy” and “Become a Sponsor.”</w:t>
      </w:r>
    </w:p>
    <w:p>
      <w:pPr>
        <w:pStyle w:val="ListParagraph"/>
        <w:numPr>
          <w:ilvl w:val="0"/>
          <w:numId w:val="2"/>
        </w:numPr>
        <w:spacing w:after="60" w:line="270"/>
      </w:pPr>
      <w:r>
        <w:rPr>
          <w:b/>
          <w:bCs/>
          <w:color w:val="1A1A1A"/>
        </w:rPr>
        <w:t xml:space="preserve">Impact strip. </w:t>
      </w:r>
      <w:r>
        <w:t xml:space="preserve">Three or four bold numbers — founded 2016, 100+ players, U9–U13+ teams, SAFA-registered — to establish credibility instantly.</w:t>
      </w:r>
    </w:p>
    <w:p>
      <w:pPr>
        <w:pStyle w:val="ListParagraph"/>
        <w:numPr>
          <w:ilvl w:val="0"/>
          <w:numId w:val="2"/>
        </w:numPr>
        <w:spacing w:after="60" w:line="270"/>
      </w:pPr>
      <w:r>
        <w:rPr>
          <w:b/>
          <w:bCs/>
          <w:color w:val="1A1A1A"/>
        </w:rPr>
        <w:t xml:space="preserve">Who we are. </w:t>
      </w:r>
      <w:r>
        <w:t xml:space="preserve">Two-sentence intro with a “Read our story” link to About.</w:t>
      </w:r>
    </w:p>
    <w:p>
      <w:pPr>
        <w:pStyle w:val="ListParagraph"/>
        <w:numPr>
          <w:ilvl w:val="0"/>
          <w:numId w:val="2"/>
        </w:numPr>
        <w:spacing w:after="60" w:line="270"/>
      </w:pPr>
      <w:r>
        <w:rPr>
          <w:b/>
          <w:bCs/>
          <w:color w:val="1A1A1A"/>
        </w:rPr>
        <w:t xml:space="preserve">Programmes preview. </w:t>
      </w:r>
      <w:r>
        <w:t xml:space="preserve">Cards for the main age groups linking into Programmes.</w:t>
      </w:r>
    </w:p>
    <w:p>
      <w:pPr>
        <w:pStyle w:val="ListParagraph"/>
        <w:numPr>
          <w:ilvl w:val="0"/>
          <w:numId w:val="2"/>
        </w:numPr>
        <w:spacing w:after="60" w:line="270"/>
      </w:pPr>
      <w:r>
        <w:rPr>
          <w:b/>
          <w:bCs/>
          <w:color w:val="1A1A1A"/>
        </w:rPr>
        <w:t xml:space="preserve">Sponsor band. </w:t>
      </w:r>
      <w:r>
        <w:t xml:space="preserve">A visually distinct red section: “Partner with us” + logos of current sponsors + button to the Sponsors page.</w:t>
      </w:r>
    </w:p>
    <w:p>
      <w:pPr>
        <w:pStyle w:val="ListParagraph"/>
        <w:numPr>
          <w:ilvl w:val="0"/>
          <w:numId w:val="2"/>
        </w:numPr>
        <w:spacing w:after="60" w:line="270"/>
      </w:pPr>
      <w:r>
        <w:rPr>
          <w:b/>
          <w:bCs/>
          <w:color w:val="1A1A1A"/>
        </w:rPr>
        <w:t xml:space="preserve">Latest news + gallery teaser. </w:t>
      </w:r>
      <w:r>
        <w:t xml:space="preserve">Three recent posts and a row of photos.</w:t>
      </w:r>
    </w:p>
    <w:p>
      <w:pPr>
        <w:pStyle w:val="ListParagraph"/>
        <w:numPr>
          <w:ilvl w:val="0"/>
          <w:numId w:val="2"/>
        </w:numPr>
        <w:spacing w:after="60" w:line="270"/>
      </w:pPr>
      <w:r>
        <w:rPr>
          <w:b/>
          <w:bCs/>
          <w:color w:val="1A1A1A"/>
        </w:rPr>
        <w:t xml:space="preserve">Social proof. </w:t>
      </w:r>
      <w:r>
        <w:t xml:space="preserve">Pull-quote from the academy's media coverage and an Instagram feed embed.</w:t>
      </w:r>
    </w:p>
    <w:p>
      <w:pPr>
        <w:pStyle w:val="Heading2"/>
      </w:pPr>
      <w:r>
        <w:t xml:space="preserve">About</w:t>
      </w:r>
    </w:p>
    <w:p>
      <w:pPr>
        <w:pStyle w:val="ListParagraph"/>
        <w:numPr>
          <w:ilvl w:val="0"/>
          <w:numId w:val="2"/>
        </w:numPr>
        <w:spacing w:after="60" w:line="270"/>
      </w:pPr>
      <w:r>
        <w:rPr>
          <w:b/>
          <w:bCs/>
          <w:color w:val="1A1A1A"/>
        </w:rPr>
        <w:t xml:space="preserve">Our story. </w:t>
      </w:r>
      <w:r>
        <w:t xml:space="preserve">The founding in 2016 by Katlego Ntsheke, growth to 100+ players, registration with SAFA via the North Rand Football Association, and the outreach roots supporting children from surrounding communities.</w:t>
      </w:r>
    </w:p>
    <w:p>
      <w:pPr>
        <w:pStyle w:val="ListParagraph"/>
        <w:numPr>
          <w:ilvl w:val="0"/>
          <w:numId w:val="2"/>
        </w:numPr>
        <w:spacing w:after="60" w:line="270"/>
      </w:pPr>
      <w:r>
        <w:rPr>
          <w:b/>
          <w:bCs/>
          <w:color w:val="1A1A1A"/>
        </w:rPr>
        <w:t xml:space="preserve">Vision &amp; mission. </w:t>
      </w:r>
      <w:r>
        <w:t xml:space="preserve">Stated plainly, drawn from the academy's prospectus.</w:t>
      </w:r>
    </w:p>
    <w:p>
      <w:pPr>
        <w:pStyle w:val="ListParagraph"/>
        <w:numPr>
          <w:ilvl w:val="0"/>
          <w:numId w:val="2"/>
        </w:numPr>
        <w:spacing w:after="60" w:line="270"/>
      </w:pPr>
      <w:r>
        <w:rPr>
          <w:b/>
          <w:bCs/>
          <w:color w:val="1A1A1A"/>
        </w:rPr>
        <w:t xml:space="preserve">Core values. </w:t>
      </w:r>
      <w:r>
        <w:t xml:space="preserve">Discipline, Excellence, Respect, Teamwork, Leadership, Integrity, Community — shown as a simple, visual set.</w:t>
      </w:r>
    </w:p>
    <w:p>
      <w:pPr>
        <w:pStyle w:val="ListParagraph"/>
        <w:numPr>
          <w:ilvl w:val="0"/>
          <w:numId w:val="2"/>
        </w:numPr>
        <w:spacing w:after="60" w:line="270"/>
      </w:pPr>
      <w:r>
        <w:rPr>
          <w:b/>
          <w:bCs/>
          <w:color w:val="1A1A1A"/>
        </w:rPr>
        <w:t xml:space="preserve">Coaches &amp; team. </w:t>
      </w:r>
      <w:r>
        <w:t xml:space="preserve">Photos and short bios of the head coach and coaching staff to put faces to the academy.</w:t>
      </w:r>
    </w:p>
    <w:p>
      <w:pPr>
        <w:pStyle w:val="ListParagraph"/>
        <w:numPr>
          <w:ilvl w:val="0"/>
          <w:numId w:val="2"/>
        </w:numPr>
        <w:spacing w:after="60" w:line="270"/>
      </w:pPr>
      <w:r>
        <w:rPr>
          <w:b/>
          <w:bCs/>
          <w:color w:val="1A1A1A"/>
        </w:rPr>
        <w:t xml:space="preserve">In the media. </w:t>
      </w:r>
      <w:r>
        <w:t xml:space="preserve">Logos / links to the Citizen (Midrand Reporter) feature and the Soccer Laduma podcast spotlight — real third-party credibility.</w:t>
      </w:r>
    </w:p>
    <w:p>
      <w:pPr>
        <w:pStyle w:val="Heading2"/>
      </w:pPr>
      <w:r>
        <w:t xml:space="preserve">Programmes</w:t>
      </w:r>
    </w:p>
    <w:p>
      <w:pPr>
        <w:pStyle w:val="ListParagraph"/>
        <w:numPr>
          <w:ilvl w:val="0"/>
          <w:numId w:val="2"/>
        </w:numPr>
        <w:spacing w:after="60" w:line="270"/>
      </w:pPr>
      <w:r>
        <w:rPr>
          <w:b/>
          <w:bCs/>
          <w:color w:val="1A1A1A"/>
        </w:rPr>
        <w:t xml:space="preserve">Overview. </w:t>
      </w:r>
      <w:r>
        <w:t xml:space="preserve">What the academy develops — football skill plus discipline, leadership, teamwork and personal growth.</w:t>
      </w:r>
    </w:p>
    <w:p>
      <w:pPr>
        <w:pStyle w:val="ListParagraph"/>
        <w:numPr>
          <w:ilvl w:val="0"/>
          <w:numId w:val="2"/>
        </w:numPr>
        <w:spacing w:after="60" w:line="270"/>
      </w:pPr>
      <w:r>
        <w:rPr>
          <w:b/>
          <w:bCs/>
          <w:color w:val="1A1A1A"/>
        </w:rPr>
        <w:t xml:space="preserve">Age groups / teams. </w:t>
      </w:r>
      <w:r>
        <w:t xml:space="preserve">Clear breakdown (e.g. U9–U13 and up) with what each group focuses on.</w:t>
      </w:r>
    </w:p>
    <w:p>
      <w:pPr>
        <w:pStyle w:val="ListParagraph"/>
        <w:numPr>
          <w:ilvl w:val="0"/>
          <w:numId w:val="2"/>
        </w:numPr>
        <w:spacing w:after="60" w:line="270"/>
      </w:pPr>
      <w:r>
        <w:rPr>
          <w:b/>
          <w:bCs/>
          <w:color w:val="1A1A1A"/>
        </w:rPr>
        <w:t xml:space="preserve">What a typical week looks like. </w:t>
      </w:r>
      <w:r>
        <w:t xml:space="preserve">Training cadence, where it happens, what's provided.</w:t>
      </w:r>
    </w:p>
    <w:p>
      <w:pPr>
        <w:pStyle w:val="ListParagraph"/>
        <w:numPr>
          <w:ilvl w:val="0"/>
          <w:numId w:val="2"/>
        </w:numPr>
        <w:spacing w:after="60" w:line="270"/>
      </w:pPr>
      <w:r>
        <w:rPr>
          <w:b/>
          <w:bCs/>
          <w:color w:val="1A1A1A"/>
        </w:rPr>
        <w:t xml:space="preserve">How to join. </w:t>
      </w:r>
      <w:r>
        <w:t xml:space="preserve">Trials, what to bring, fees or assistance, and a prominent link to the registration form.</w:t>
      </w:r>
    </w:p>
    <w:p>
      <w:pPr>
        <w:pStyle w:val="ListParagraph"/>
        <w:numPr>
          <w:ilvl w:val="0"/>
          <w:numId w:val="2"/>
        </w:numPr>
        <w:spacing w:after="60" w:line="270"/>
      </w:pPr>
      <w:r>
        <w:rPr>
          <w:b/>
          <w:bCs/>
          <w:color w:val="1A1A1A"/>
        </w:rPr>
        <w:t xml:space="preserve">Outreach programme. </w:t>
      </w:r>
      <w:r>
        <w:t xml:space="preserve">The community / adopted-player initiative — important for both parents and sponsors.</w:t>
      </w:r>
    </w:p>
    <w:p>
      <w:pPr>
        <w:pStyle w:val="Heading2"/>
      </w:pPr>
      <w:r>
        <w:t xml:space="preserve">Teams &amp; Fixtures</w:t>
      </w:r>
    </w:p>
    <w:p>
      <w:pPr>
        <w:pStyle w:val="ListParagraph"/>
        <w:numPr>
          <w:ilvl w:val="0"/>
          <w:numId w:val="2"/>
        </w:numPr>
        <w:spacing w:after="60" w:line="270"/>
      </w:pPr>
      <w:r>
        <w:rPr>
          <w:b/>
          <w:bCs/>
          <w:color w:val="1A1A1A"/>
        </w:rPr>
        <w:t xml:space="preserve">Squads. </w:t>
      </w:r>
      <w:r>
        <w:t xml:space="preserve">Team pages or cards per age group with a team photo.</w:t>
      </w:r>
    </w:p>
    <w:p>
      <w:pPr>
        <w:pStyle w:val="ListParagraph"/>
        <w:numPr>
          <w:ilvl w:val="0"/>
          <w:numId w:val="2"/>
        </w:numPr>
        <w:spacing w:after="60" w:line="270"/>
      </w:pPr>
      <w:r>
        <w:rPr>
          <w:b/>
          <w:bCs/>
          <w:color w:val="1A1A1A"/>
        </w:rPr>
        <w:t xml:space="preserve">League &amp; tournaments. </w:t>
      </w:r>
      <w:r>
        <w:t xml:space="preserve">Which leagues and competitions GKSA plays in.</w:t>
      </w:r>
    </w:p>
    <w:p>
      <w:pPr>
        <w:pStyle w:val="ListParagraph"/>
        <w:numPr>
          <w:ilvl w:val="0"/>
          <w:numId w:val="2"/>
        </w:numPr>
        <w:spacing w:after="60" w:line="270"/>
      </w:pPr>
      <w:r>
        <w:rPr>
          <w:b/>
          <w:bCs/>
          <w:color w:val="1A1A1A"/>
        </w:rPr>
        <w:t xml:space="preserve">Fixtures &amp; results. </w:t>
      </w:r>
      <w:r>
        <w:t xml:space="preserve">An upcoming-games list and recent results — kept simple and easy to update.</w:t>
      </w:r>
    </w:p>
    <w:p>
      <w:pPr>
        <w:pStyle w:val="Heading2"/>
      </w:pPr>
      <w:r>
        <w:t xml:space="preserve">Gallery</w:t>
      </w:r>
    </w:p>
    <w:p>
      <w:pPr>
        <w:pStyle w:val="ListParagraph"/>
        <w:numPr>
          <w:ilvl w:val="0"/>
          <w:numId w:val="2"/>
        </w:numPr>
        <w:spacing w:after="60" w:line="270"/>
      </w:pPr>
      <w:r>
        <w:rPr>
          <w:b/>
          <w:bCs/>
          <w:color w:val="1A1A1A"/>
        </w:rPr>
        <w:t xml:space="preserve">Photo grid. </w:t>
      </w:r>
      <w:r>
        <w:t xml:space="preserve">Curated albums by season / event, using the academy's existing match-day and team photos.</w:t>
      </w:r>
    </w:p>
    <w:p>
      <w:pPr>
        <w:pStyle w:val="ListParagraph"/>
        <w:numPr>
          <w:ilvl w:val="0"/>
          <w:numId w:val="2"/>
        </w:numPr>
        <w:spacing w:after="60" w:line="270"/>
      </w:pPr>
      <w:r>
        <w:rPr>
          <w:b/>
          <w:bCs/>
          <w:color w:val="1A1A1A"/>
        </w:rPr>
        <w:t xml:space="preserve">Video. </w:t>
      </w:r>
      <w:r>
        <w:t xml:space="preserve">Embedded highlights or training clips where available.</w:t>
      </w:r>
    </w:p>
    <w:p>
      <w:pPr>
        <w:pStyle w:val="Heading2"/>
      </w:pPr>
      <w:r>
        <w:t xml:space="preserve">News / Blog</w:t>
      </w:r>
    </w:p>
    <w:p>
      <w:pPr>
        <w:pStyle w:val="ListParagraph"/>
        <w:numPr>
          <w:ilvl w:val="0"/>
          <w:numId w:val="2"/>
        </w:numPr>
        <w:spacing w:after="60" w:line="270"/>
      </w:pPr>
      <w:r>
        <w:rPr>
          <w:b/>
          <w:bCs/>
          <w:color w:val="1A1A1A"/>
        </w:rPr>
        <w:t xml:space="preserve">Posts. </w:t>
      </w:r>
      <w:r>
        <w:t xml:space="preserve">Match reports, achievements, event recaps, and announcements — also the engine for social and SEO.</w:t>
      </w:r>
    </w:p>
    <w:p>
      <w:pPr>
        <w:pStyle w:val="ListParagraph"/>
        <w:numPr>
          <w:ilvl w:val="0"/>
          <w:numId w:val="2"/>
        </w:numPr>
        <w:spacing w:after="60" w:line="270"/>
      </w:pPr>
      <w:r>
        <w:rPr>
          <w:b/>
          <w:bCs/>
          <w:color w:val="1A1A1A"/>
        </w:rPr>
        <w:t xml:space="preserve">Categories. </w:t>
      </w:r>
      <w:r>
        <w:t xml:space="preserve">Simple tags (Match reports, Academy news, Community).</w:t>
      </w:r>
    </w:p>
    <w:p>
      <w:pPr>
        <w:pStyle w:val="Heading2"/>
      </w:pPr>
      <w:r>
        <w:t xml:space="preserve">Contact</w:t>
      </w:r>
    </w:p>
    <w:p>
      <w:pPr>
        <w:pStyle w:val="ListParagraph"/>
        <w:numPr>
          <w:ilvl w:val="0"/>
          <w:numId w:val="2"/>
        </w:numPr>
        <w:spacing w:after="60" w:line="270"/>
      </w:pPr>
      <w:r>
        <w:rPr>
          <w:b/>
          <w:bCs/>
          <w:color w:val="1A1A1A"/>
        </w:rPr>
        <w:t xml:space="preserve">Enquiry form. </w:t>
      </w:r>
      <w:r>
        <w:t xml:space="preserve">Name, contact, reason (join / sponsor / general), message.</w:t>
      </w:r>
    </w:p>
    <w:p>
      <w:pPr>
        <w:pStyle w:val="ListParagraph"/>
        <w:numPr>
          <w:ilvl w:val="0"/>
          <w:numId w:val="2"/>
        </w:numPr>
        <w:spacing w:after="60" w:line="270"/>
      </w:pPr>
      <w:r>
        <w:rPr>
          <w:b/>
          <w:bCs/>
          <w:color w:val="1A1A1A"/>
        </w:rPr>
        <w:t xml:space="preserve">Direct details. </w:t>
      </w:r>
      <w:r>
        <w:t xml:space="preserve">Head Coach Katlego Ntsheke; Assistant Coach Mphatso; PA Bophelo Monyayi — phone and email as listed in the proposal.</w:t>
      </w:r>
    </w:p>
    <w:p>
      <w:pPr>
        <w:pStyle w:val="ListParagraph"/>
        <w:numPr>
          <w:ilvl w:val="0"/>
          <w:numId w:val="2"/>
        </w:numPr>
        <w:spacing w:after="60" w:line="270"/>
      </w:pPr>
      <w:r>
        <w:rPr>
          <w:b/>
          <w:bCs/>
          <w:color w:val="1A1A1A"/>
        </w:rPr>
        <w:t xml:space="preserve">Location &amp; social. </w:t>
      </w:r>
      <w:r>
        <w:t xml:space="preserve">Map of the Midrand training base and links to Instagram and other channels.</w:t>
      </w:r>
    </w:p>
    <w:p>
      <w:pPr>
        <w:pStyle w:val="Heading1"/>
        <w:pageBreakBefore/>
      </w:pPr>
      <w:r>
        <w:t xml:space="preserve">7. Sponsors &amp; partnerships — the centrepiece</w:t>
      </w:r>
    </w:p>
    <w:p>
      <w:pPr>
        <w:spacing w:after="140" w:line="276"/>
      </w:pPr>
      <w:r>
        <w:t xml:space="preserve">This is where the site has to be excellent. The Sponsors page is effectively a digital version of the academy's proposal, designed to move a business from “interested” to “in touch.” It should also make existing partners feel genuinely valued and visible.</w:t>
      </w:r>
    </w:p>
    <w:p>
      <w:pPr>
        <w:pStyle w:val="Heading2"/>
      </w:pPr>
      <w:r>
        <w:t xml:space="preserve">The Sponsors page, section by section</w:t>
      </w:r>
    </w:p>
    <w:p>
      <w:pPr>
        <w:pStyle w:val="ListParagraph"/>
        <w:numPr>
          <w:ilvl w:val="0"/>
          <w:numId w:val="2"/>
        </w:numPr>
        <w:spacing w:after="60" w:line="270"/>
      </w:pPr>
      <w:r>
        <w:rPr>
          <w:b/>
          <w:bCs/>
          <w:color w:val="1A1A1A"/>
        </w:rPr>
        <w:t xml:space="preserve">Why partner with GKSA. </w:t>
      </w:r>
      <w:r>
        <w:t xml:space="preserve">Lead with impact and the three benefits from the proposal: brand visibility, marketing &amp; engagement, and corporate social investment (CSI).</w:t>
      </w:r>
    </w:p>
    <w:p>
      <w:pPr>
        <w:pStyle w:val="ListParagraph"/>
        <w:numPr>
          <w:ilvl w:val="0"/>
          <w:numId w:val="2"/>
        </w:numPr>
        <w:spacing w:after="60" w:line="270"/>
      </w:pPr>
      <w:r>
        <w:rPr>
          <w:b/>
          <w:bCs/>
          <w:color w:val="1A1A1A"/>
        </w:rPr>
        <w:t xml:space="preserve">The numbers. </w:t>
      </w:r>
      <w:r>
        <w:t xml:space="preserve">Founded 2016, 100+ players, hundreds of family and community members reached, SAFA-registered, real media coverage — presented as confident, scannable stats.</w:t>
      </w:r>
    </w:p>
    <w:p>
      <w:pPr>
        <w:pStyle w:val="ListParagraph"/>
        <w:numPr>
          <w:ilvl w:val="0"/>
          <w:numId w:val="2"/>
        </w:numPr>
        <w:spacing w:after="60" w:line="270"/>
      </w:pPr>
      <w:r>
        <w:rPr>
          <w:b/>
          <w:bCs/>
          <w:color w:val="1A1A1A"/>
        </w:rPr>
        <w:t xml:space="preserve">What sponsorship supports. </w:t>
      </w:r>
      <w:r>
        <w:t xml:space="preserve">Kit, training equipment, field rent, tournament fees, and assistance for players who need it — so a sponsor sees exactly where their money goes.</w:t>
      </w:r>
    </w:p>
    <w:p>
      <w:pPr>
        <w:pStyle w:val="ListParagraph"/>
        <w:numPr>
          <w:ilvl w:val="0"/>
          <w:numId w:val="2"/>
        </w:numPr>
        <w:spacing w:after="60" w:line="270"/>
      </w:pPr>
      <w:r>
        <w:rPr>
          <w:b/>
          <w:bCs/>
          <w:color w:val="1A1A1A"/>
        </w:rPr>
        <w:t xml:space="preserve">Sponsorship tiers. </w:t>
      </w:r>
      <w:r>
        <w:t xml:space="preserve">The table below, presented as attractive cards, each with a clear “Choose this level” action.</w:t>
      </w:r>
    </w:p>
    <w:p>
      <w:pPr>
        <w:pStyle w:val="ListParagraph"/>
        <w:numPr>
          <w:ilvl w:val="0"/>
          <w:numId w:val="2"/>
        </w:numPr>
        <w:spacing w:after="60" w:line="270"/>
      </w:pPr>
      <w:r>
        <w:rPr>
          <w:b/>
          <w:bCs/>
          <w:color w:val="1A1A1A"/>
        </w:rPr>
        <w:t xml:space="preserve">Ways to give. </w:t>
      </w:r>
      <w:r>
        <w:t xml:space="preserve">Cash or in-kind — apparel, equipment, balls &amp; bags, first-aid, branding/gazebos — matching the proposal's flexible options.</w:t>
      </w:r>
    </w:p>
    <w:p>
      <w:pPr>
        <w:pStyle w:val="ListParagraph"/>
        <w:numPr>
          <w:ilvl w:val="0"/>
          <w:numId w:val="2"/>
        </w:numPr>
        <w:spacing w:after="60" w:line="270"/>
      </w:pPr>
      <w:r>
        <w:rPr>
          <w:b/>
          <w:bCs/>
          <w:color w:val="1A1A1A"/>
        </w:rPr>
        <w:t xml:space="preserve">Sponsor wall. </w:t>
      </w:r>
      <w:r>
        <w:t xml:space="preserve">Logos of current sponsors and partners, displayed prominently (see below).</w:t>
      </w:r>
    </w:p>
    <w:p>
      <w:pPr>
        <w:pStyle w:val="ListParagraph"/>
        <w:numPr>
          <w:ilvl w:val="0"/>
          <w:numId w:val="2"/>
        </w:numPr>
        <w:spacing w:after="60" w:line="270"/>
      </w:pPr>
      <w:r>
        <w:rPr>
          <w:b/>
          <w:bCs/>
          <w:color w:val="1A1A1A"/>
        </w:rPr>
        <w:t xml:space="preserve">Become a sponsor. </w:t>
      </w:r>
      <w:r>
        <w:t xml:space="preserve">A short form plus a one-click “Download the sponsorship proposal (PDF)” button using the academy's existing proposal.</w:t>
      </w:r>
    </w:p>
    <w:p>
      <w:pPr>
        <w:pStyle w:val="Heading2"/>
      </w:pPr>
      <w:r>
        <w:t xml:space="preserve">Sponsorship tiers</w:t>
      </w:r>
    </w:p>
    <w:p>
      <w:pPr>
        <w:spacing w:after="140" w:line="276"/>
      </w:pPr>
      <w:r>
        <w:rPr>
          <w:color w:val="595959"/>
          <w:sz w:val="20"/>
          <w:szCs w:val="20"/>
        </w:rPr>
        <w:t xml:space="preserve">Drawn directly from the GKSA sponsorship proposal. On the page these become visual cards, ordered Platinum to Community, with the highest tier highlighted.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700"/>
        <w:gridCol w:w="5660"/>
      </w:tblGrid>
      <w:tr>
        <w:trPr>
          <w:tblHeader/>
        </w:trPr>
        <w:tc>
          <w:tcPr>
            <w:tcW w:type="dxa" w:w="2000"/>
            <w:tcBorders>
              <w:top w:val="single" w:color="DDDDDD" w:sz="1"/>
              <w:left w:val="single" w:color="DDDDDD" w:sz="1"/>
              <w:bottom w:val="single" w:color="DDDDDD" w:sz="1"/>
              <w:right w:val="single" w:color="DDDDDD" w:sz="1"/>
            </w:tcBorders>
            <w:shd w:fill="EE3030" w:val="clear"/>
            <w:tcMar>
              <w:top w:type="dxa" w:w="80"/>
              <w:left w:type="dxa" w:w="120"/>
              <w:bottom w:type="dxa" w:w="80"/>
              <w:right w:type="dxa" w:w="120"/>
            </w:tcMar>
            <w:vAlign w:val="center"/>
          </w:tcPr>
          <w:p>
            <w:r>
              <w:rPr>
                <w:b/>
                <w:bCs/>
                <w:color w:val="FFFFFF"/>
                <w:sz w:val="20"/>
                <w:szCs w:val="20"/>
              </w:rPr>
              <w:t xml:space="preserve">Level</w:t>
            </w:r>
          </w:p>
        </w:tc>
        <w:tc>
          <w:tcPr>
            <w:tcW w:type="dxa" w:w="1700"/>
            <w:tcBorders>
              <w:top w:val="single" w:color="DDDDDD" w:sz="1"/>
              <w:left w:val="single" w:color="DDDDDD" w:sz="1"/>
              <w:bottom w:val="single" w:color="DDDDDD" w:sz="1"/>
              <w:right w:val="single" w:color="DDDDDD" w:sz="1"/>
            </w:tcBorders>
            <w:shd w:fill="EE3030" w:val="clear"/>
            <w:tcMar>
              <w:top w:type="dxa" w:w="80"/>
              <w:left w:type="dxa" w:w="120"/>
              <w:bottom w:type="dxa" w:w="80"/>
              <w:right w:type="dxa" w:w="120"/>
            </w:tcMar>
            <w:vAlign w:val="center"/>
          </w:tcPr>
          <w:p>
            <w:r>
              <w:rPr>
                <w:b/>
                <w:bCs/>
                <w:color w:val="FFFFFF"/>
                <w:sz w:val="20"/>
                <w:szCs w:val="20"/>
              </w:rPr>
              <w:t xml:space="preserve">Contribution</w:t>
            </w:r>
          </w:p>
        </w:tc>
        <w:tc>
          <w:tcPr>
            <w:tcW w:type="dxa" w:w="5660"/>
            <w:tcBorders>
              <w:top w:val="single" w:color="DDDDDD" w:sz="1"/>
              <w:left w:val="single" w:color="DDDDDD" w:sz="1"/>
              <w:bottom w:val="single" w:color="DDDDDD" w:sz="1"/>
              <w:right w:val="single" w:color="DDDDDD" w:sz="1"/>
            </w:tcBorders>
            <w:shd w:fill="EE3030" w:val="clear"/>
            <w:tcMar>
              <w:top w:type="dxa" w:w="80"/>
              <w:left w:type="dxa" w:w="120"/>
              <w:bottom w:type="dxa" w:w="80"/>
              <w:right w:type="dxa" w:w="120"/>
            </w:tcMar>
            <w:vAlign w:val="center"/>
          </w:tcPr>
          <w:p>
            <w:r>
              <w:rPr>
                <w:b/>
                <w:bCs/>
                <w:color w:val="FFFFFF"/>
                <w:sz w:val="20"/>
                <w:szCs w:val="20"/>
              </w:rPr>
              <w:t xml:space="preserve">Key benefits</w:t>
            </w:r>
          </w:p>
        </w:tc>
      </w:tr>
      <w:tr>
        <w:tc>
          <w:tcPr>
            <w:tcW w:type="dxa" w:w="2000"/>
            <w:tcBorders>
              <w:top w:val="single" w:color="DDDDDD" w:sz="1"/>
              <w:left w:val="single" w:color="DDDDDD" w:sz="1"/>
              <w:bottom w:val="single" w:color="DDDDDD" w:sz="1"/>
              <w:right w:val="single" w:color="DDDDDD" w:sz="1"/>
            </w:tcBorders>
            <w:shd w:fill="FBE0E0" w:val="clear"/>
            <w:tcMar>
              <w:top w:type="dxa" w:w="70"/>
              <w:left w:type="dxa" w:w="120"/>
              <w:bottom w:type="dxa" w:w="70"/>
              <w:right w:type="dxa" w:w="120"/>
            </w:tcMar>
            <w:vAlign w:val="center"/>
          </w:tcPr>
          <w:p>
            <w:r>
              <w:rPr>
                <w:b/>
                <w:bCs/>
                <w:color w:val="1A1A1A"/>
                <w:sz w:val="20"/>
                <w:szCs w:val="20"/>
              </w:rPr>
              <w:t xml:space="preserve">Platinum</w:t>
            </w:r>
          </w:p>
        </w:tc>
        <w:tc>
          <w:tcPr>
            <w:tcW w:type="dxa" w:w="1700"/>
            <w:tcBorders>
              <w:top w:val="single" w:color="DDDDDD" w:sz="1"/>
              <w:left w:val="single" w:color="DDDDDD" w:sz="1"/>
              <w:bottom w:val="single" w:color="DDDDDD" w:sz="1"/>
              <w:right w:val="single" w:color="DDDDDD" w:sz="1"/>
            </w:tcBorders>
            <w:shd w:fill="FBE0E0" w:val="clear"/>
            <w:tcMar>
              <w:top w:type="dxa" w:w="70"/>
              <w:left w:type="dxa" w:w="120"/>
              <w:bottom w:type="dxa" w:w="70"/>
              <w:right w:type="dxa" w:w="120"/>
            </w:tcMar>
            <w:vAlign w:val="center"/>
          </w:tcPr>
          <w:p>
            <w:r>
              <w:rPr>
                <w:b/>
                <w:bCs/>
                <w:color w:val="1A1A1A"/>
                <w:sz w:val="20"/>
                <w:szCs w:val="20"/>
              </w:rPr>
              <w:t xml:space="preserve">R100,000</w:t>
            </w:r>
          </w:p>
        </w:tc>
        <w:tc>
          <w:tcPr>
            <w:tcW w:type="dxa" w:w="5660"/>
            <w:tcBorders>
              <w:top w:val="single" w:color="DDDDDD" w:sz="1"/>
              <w:left w:val="single" w:color="DDDDDD" w:sz="1"/>
              <w:bottom w:val="single" w:color="DDDDDD" w:sz="1"/>
              <w:right w:val="single" w:color="DDDDDD" w:sz="1"/>
            </w:tcBorders>
            <w:shd w:fill="FBE0E0" w:val="clear"/>
            <w:tcMar>
              <w:top w:type="dxa" w:w="70"/>
              <w:left w:type="dxa" w:w="120"/>
              <w:bottom w:type="dxa" w:w="70"/>
              <w:right w:type="dxa" w:w="120"/>
            </w:tcMar>
            <w:vAlign w:val="center"/>
          </w:tcPr>
          <w:p>
            <w:r>
              <w:rPr>
                <w:b w:val="false"/>
                <w:bCs w:val="false"/>
                <w:color w:val="1A1A1A"/>
                <w:sz w:val="20"/>
                <w:szCs w:val="20"/>
              </w:rPr>
              <w:t xml:space="preserve">Largest logo on training &amp; game kit; largest logo on gazebos, banners and bags; featured across all social media and the website.</w:t>
            </w:r>
          </w:p>
        </w:tc>
      </w:tr>
      <w:tr>
        <w:tc>
          <w:tcPr>
            <w:tcW w:type="dxa" w:w="200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bCs/>
                <w:color w:val="1A1A1A"/>
                <w:sz w:val="20"/>
                <w:szCs w:val="20"/>
              </w:rPr>
              <w:t xml:space="preserve">Golden</w:t>
            </w:r>
          </w:p>
        </w:tc>
        <w:tc>
          <w:tcPr>
            <w:tcW w:type="dxa" w:w="170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R50,000</w:t>
            </w:r>
          </w:p>
        </w:tc>
        <w:tc>
          <w:tcPr>
            <w:tcW w:type="dxa" w:w="566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Prominent logo on kit, gazebos and banners; featured on social media and the website.</w:t>
            </w:r>
          </w:p>
        </w:tc>
      </w:tr>
      <w:tr>
        <w:tc>
          <w:tcPr>
            <w:tcW w:type="dxa" w:w="2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bCs/>
                <w:color w:val="1A1A1A"/>
                <w:sz w:val="20"/>
                <w:szCs w:val="20"/>
              </w:rPr>
              <w:t xml:space="preserve">Silver</w:t>
            </w:r>
          </w:p>
        </w:tc>
        <w:tc>
          <w:tcPr>
            <w:tcW w:type="dxa" w:w="17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val="false"/>
                <w:bCs w:val="false"/>
                <w:color w:val="1A1A1A"/>
                <w:sz w:val="20"/>
                <w:szCs w:val="20"/>
              </w:rPr>
              <w:t xml:space="preserve">R10,000</w:t>
            </w:r>
          </w:p>
        </w:tc>
        <w:tc>
          <w:tcPr>
            <w:tcW w:type="dxa" w:w="56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val="false"/>
                <w:bCs w:val="false"/>
                <w:color w:val="1A1A1A"/>
                <w:sz w:val="20"/>
                <w:szCs w:val="20"/>
              </w:rPr>
              <w:t xml:space="preserve">Logo on kit, gazebos, banners, the website and social media.</w:t>
            </w:r>
          </w:p>
        </w:tc>
      </w:tr>
      <w:tr>
        <w:tc>
          <w:tcPr>
            <w:tcW w:type="dxa" w:w="200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bCs/>
                <w:color w:val="1A1A1A"/>
                <w:sz w:val="20"/>
                <w:szCs w:val="20"/>
              </w:rPr>
              <w:t xml:space="preserve">Community Partner</w:t>
            </w:r>
          </w:p>
        </w:tc>
        <w:tc>
          <w:tcPr>
            <w:tcW w:type="dxa" w:w="170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R5,000</w:t>
            </w:r>
          </w:p>
        </w:tc>
        <w:tc>
          <w:tcPr>
            <w:tcW w:type="dxa" w:w="566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Logo on kit, the website and social media.</w:t>
            </w:r>
          </w:p>
        </w:tc>
      </w:tr>
    </w:tbl>
    <w:p>
      <w:pPr>
        <w:spacing w:after="80"/>
      </w:pPr>
      <w:r>
        <w:t xml:space="preserve"/>
      </w:r>
    </w:p>
    <w:p>
      <w:pPr>
        <w:spacing w:after="140" w:line="276"/>
      </w:pPr>
      <w:r>
        <w:rPr>
          <w:i/>
          <w:iCs/>
          <w:color w:val="595959"/>
          <w:sz w:val="20"/>
          <w:szCs w:val="20"/>
        </w:rPr>
        <w:t xml:space="preserve">Recommended addition: a flexible “Custom / In-kind Partner” option for businesses that prefer to donate products, services or equipment rather than a set cash amount — exactly as the proposal already offers.</w:t>
      </w:r>
    </w:p>
    <w:p>
      <w:pPr>
        <w:pStyle w:val="Heading2"/>
      </w:pPr>
      <w:r>
        <w:t xml:space="preserve">Showing partnership well</w:t>
      </w:r>
    </w:p>
    <w:p>
      <w:pPr>
        <w:spacing w:after="140" w:line="276"/>
      </w:pPr>
      <w:r>
        <w:t xml:space="preserve">The academy specifically wants partnership shown in a good way. Concrete ways the site will do that:</w:t>
      </w:r>
    </w:p>
    <w:p>
      <w:pPr>
        <w:pStyle w:val="ListParagraph"/>
        <w:numPr>
          <w:ilvl w:val="0"/>
          <w:numId w:val="2"/>
        </w:numPr>
        <w:spacing w:after="60" w:line="270"/>
      </w:pPr>
      <w:r>
        <w:rPr>
          <w:b/>
          <w:bCs/>
          <w:color w:val="1A1A1A"/>
        </w:rPr>
        <w:t xml:space="preserve">A real sponsor wall. </w:t>
      </w:r>
      <w:r>
        <w:t xml:space="preserve">Not buried in the footer — a dedicated, well-designed section with each sponsor's logo, tier, and a link to their site.</w:t>
      </w:r>
    </w:p>
    <w:p>
      <w:pPr>
        <w:pStyle w:val="ListParagraph"/>
        <w:numPr>
          <w:ilvl w:val="0"/>
          <w:numId w:val="2"/>
        </w:numPr>
        <w:spacing w:after="60" w:line="270"/>
      </w:pPr>
      <w:r>
        <w:rPr>
          <w:b/>
          <w:bCs/>
          <w:color w:val="1A1A1A"/>
        </w:rPr>
        <w:t xml:space="preserve">Tier-appropriate prominence. </w:t>
      </w:r>
      <w:r>
        <w:t xml:space="preserve">Platinum and Golden partners get larger placement and a presence on the home page sponsor band, mirroring the on-kit benefits they're promised.</w:t>
      </w:r>
    </w:p>
    <w:p>
      <w:pPr>
        <w:pStyle w:val="ListParagraph"/>
        <w:numPr>
          <w:ilvl w:val="0"/>
          <w:numId w:val="2"/>
        </w:numPr>
        <w:spacing w:after="60" w:line="270"/>
      </w:pPr>
      <w:r>
        <w:rPr>
          <w:b/>
          <w:bCs/>
          <w:color w:val="1A1A1A"/>
        </w:rPr>
        <w:t xml:space="preserve">Thank-you / spotlight posts. </w:t>
      </w:r>
      <w:r>
        <w:t xml:space="preserve">News posts that publicly celebrate new partners and show their support in action at events — content the sponsor can re-share.</w:t>
      </w:r>
    </w:p>
    <w:p>
      <w:pPr>
        <w:pStyle w:val="ListParagraph"/>
        <w:numPr>
          <w:ilvl w:val="0"/>
          <w:numId w:val="2"/>
        </w:numPr>
        <w:spacing w:after="60" w:line="270"/>
      </w:pPr>
      <w:r>
        <w:rPr>
          <w:b/>
          <w:bCs/>
          <w:color w:val="1A1A1A"/>
        </w:rPr>
        <w:t xml:space="preserve">Proof of delivery. </w:t>
      </w:r>
      <w:r>
        <w:t xml:space="preserve">Photos of branded kit, banners and gazebos at matches, so sponsors see the visibility they paid for and prospects see what they'd 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DDDD" w:sz="1"/>
              <w:left w:val="single" w:color="EE3030" w:sz="18"/>
              <w:bottom w:val="single" w:color="EEDDDD" w:sz="1"/>
              <w:right w:val="single" w:color="EEDDDD" w:sz="1"/>
            </w:tcBorders>
            <w:shd w:fill="FBE0E0" w:val="clear"/>
            <w:tcMar>
              <w:top w:type="dxa" w:w="120"/>
              <w:left w:type="dxa" w:w="200"/>
              <w:bottom w:type="dxa" w:w="120"/>
              <w:right w:type="dxa" w:w="160"/>
            </w:tcMar>
          </w:tcPr>
          <w:p>
            <w:pPr>
              <w:spacing w:after="60"/>
            </w:pPr>
            <w:r>
              <w:rPr>
                <w:b/>
                <w:bCs/>
                <w:color w:val="EE3030"/>
                <w:sz w:val="22"/>
                <w:szCs w:val="22"/>
              </w:rPr>
              <w:t xml:space="preserve">Make it one click to act</w:t>
            </w:r>
          </w:p>
          <w:p>
            <w:pPr>
              <w:spacing w:after="40" w:line="264"/>
            </w:pPr>
            <w:r>
              <w:rPr>
                <w:color w:val="1A1A1A"/>
                <w:sz w:val="20"/>
                <w:szCs w:val="20"/>
              </w:rPr>
              <w:t xml:space="preserve">“Become a Sponsor” appears in the header and footer of every page, not just the Sponsors page.</w:t>
            </w:r>
          </w:p>
          <w:p>
            <w:pPr>
              <w:spacing w:after="40" w:line="264"/>
            </w:pPr>
            <w:r>
              <w:rPr>
                <w:color w:val="1A1A1A"/>
                <w:sz w:val="20"/>
                <w:szCs w:val="20"/>
              </w:rPr>
              <w:t xml:space="preserve">The existing PDF proposal is downloadable directly from the site — no need to email and wait.</w:t>
            </w:r>
          </w:p>
          <w:p>
            <w:pPr>
              <w:spacing w:after="40" w:line="264"/>
            </w:pPr>
            <w:r>
              <w:rPr>
                <w:color w:val="1A1A1A"/>
                <w:sz w:val="20"/>
                <w:szCs w:val="20"/>
              </w:rPr>
              <w:t xml:space="preserve">The enquiry form routes straight to the academy's contacts (Head Coach / Assistant Coach / PA).</w:t>
            </w:r>
          </w:p>
        </w:tc>
      </w:tr>
    </w:tbl>
    <w:p>
      <w:pPr>
        <w:pStyle w:val="Heading1"/>
        <w:pageBreakBefore/>
      </w:pPr>
      <w:r>
        <w:t xml:space="preserve">8. Features &amp; functionality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EE3030" w:val="clear"/>
            <w:tcMar>
              <w:top w:type="dxa" w:w="80"/>
              <w:left w:type="dxa" w:w="120"/>
              <w:bottom w:type="dxa" w:w="80"/>
              <w:right w:type="dxa" w:w="120"/>
            </w:tcMar>
            <w:vAlign w:val="center"/>
          </w:tcPr>
          <w:p>
            <w:r>
              <w:rPr>
                <w:b/>
                <w:bCs/>
                <w:color w:val="FFFFFF"/>
                <w:sz w:val="20"/>
                <w:szCs w:val="20"/>
              </w:rPr>
              <w:t xml:space="preserve">Feature</w:t>
            </w:r>
          </w:p>
        </w:tc>
        <w:tc>
          <w:tcPr>
            <w:tcW w:type="dxa" w:w="6360"/>
            <w:tcBorders>
              <w:top w:val="single" w:color="DDDDDD" w:sz="1"/>
              <w:left w:val="single" w:color="DDDDDD" w:sz="1"/>
              <w:bottom w:val="single" w:color="DDDDDD" w:sz="1"/>
              <w:right w:val="single" w:color="DDDDDD" w:sz="1"/>
            </w:tcBorders>
            <w:shd w:fill="EE3030" w:val="clear"/>
            <w:tcMar>
              <w:top w:type="dxa" w:w="80"/>
              <w:left w:type="dxa" w:w="120"/>
              <w:bottom w:type="dxa" w:w="80"/>
              <w:right w:type="dxa" w:w="120"/>
            </w:tcMar>
            <w:vAlign w:val="center"/>
          </w:tcPr>
          <w:p>
            <w:r>
              <w:rPr>
                <w:b/>
                <w:bCs/>
                <w:color w:val="FFFFFF"/>
                <w:sz w:val="20"/>
                <w:szCs w:val="20"/>
              </w:rPr>
              <w:t xml:space="preserve">Why it matters</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bCs/>
                <w:color w:val="1A1A1A"/>
                <w:sz w:val="20"/>
                <w:szCs w:val="20"/>
              </w:rPr>
              <w:t xml:space="preserve">Fully responsive (mobile-first)</w:t>
            </w:r>
          </w:p>
        </w:tc>
        <w:tc>
          <w:tcPr>
            <w:tcW w:type="dxa" w:w="6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val="false"/>
                <w:bCs w:val="false"/>
                <w:color w:val="1A1A1A"/>
                <w:sz w:val="20"/>
                <w:szCs w:val="20"/>
              </w:rPr>
              <w:t xml:space="preserve">Most visitors — parents and community — will arrive on a phone; the site must look great on small screens.</w:t>
            </w:r>
          </w:p>
        </w:tc>
      </w:tr>
      <w:tr>
        <w:tc>
          <w:tcPr>
            <w:tcW w:type="dxa" w:w="300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bCs/>
                <w:color w:val="1A1A1A"/>
                <w:sz w:val="20"/>
                <w:szCs w:val="20"/>
              </w:rPr>
              <w:t xml:space="preserve">Fast loading</w:t>
            </w:r>
          </w:p>
        </w:tc>
        <w:tc>
          <w:tcPr>
            <w:tcW w:type="dxa" w:w="636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Compressed images and clean code so the site opens quickly on mobile data.</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bCs/>
                <w:color w:val="1A1A1A"/>
                <w:sz w:val="20"/>
                <w:szCs w:val="20"/>
              </w:rPr>
              <w:t xml:space="preserve">Registration / enquiry forms</w:t>
            </w:r>
          </w:p>
        </w:tc>
        <w:tc>
          <w:tcPr>
            <w:tcW w:type="dxa" w:w="6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val="false"/>
                <w:bCs w:val="false"/>
                <w:color w:val="1A1A1A"/>
                <w:sz w:val="20"/>
                <w:szCs w:val="20"/>
              </w:rPr>
              <w:t xml:space="preserve">Capture new players and sponsor leads; route to the academy's email.</w:t>
            </w:r>
          </w:p>
        </w:tc>
      </w:tr>
      <w:tr>
        <w:tc>
          <w:tcPr>
            <w:tcW w:type="dxa" w:w="300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bCs/>
                <w:color w:val="1A1A1A"/>
                <w:sz w:val="20"/>
                <w:szCs w:val="20"/>
              </w:rPr>
              <w:t xml:space="preserve">Downloadable proposal</w:t>
            </w:r>
          </w:p>
        </w:tc>
        <w:tc>
          <w:tcPr>
            <w:tcW w:type="dxa" w:w="636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Lets a sponsor self-serve the full pitch instantly.</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bCs/>
                <w:color w:val="1A1A1A"/>
                <w:sz w:val="20"/>
                <w:szCs w:val="20"/>
              </w:rPr>
              <w:t xml:space="preserve">News / blog manager</w:t>
            </w:r>
          </w:p>
        </w:tc>
        <w:tc>
          <w:tcPr>
            <w:tcW w:type="dxa" w:w="6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val="false"/>
                <w:bCs w:val="false"/>
                <w:color w:val="1A1A1A"/>
                <w:sz w:val="20"/>
                <w:szCs w:val="20"/>
              </w:rPr>
              <w:t xml:space="preserve">Lets the academy post updates without a developer.</w:t>
            </w:r>
          </w:p>
        </w:tc>
      </w:tr>
      <w:tr>
        <w:tc>
          <w:tcPr>
            <w:tcW w:type="dxa" w:w="300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bCs/>
                <w:color w:val="1A1A1A"/>
                <w:sz w:val="20"/>
                <w:szCs w:val="20"/>
              </w:rPr>
              <w:t xml:space="preserve">Photo &amp; video gallery</w:t>
            </w:r>
          </w:p>
        </w:tc>
        <w:tc>
          <w:tcPr>
            <w:tcW w:type="dxa" w:w="636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Showcases academy life; easy to add to over time.</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bCs/>
                <w:color w:val="1A1A1A"/>
                <w:sz w:val="20"/>
                <w:szCs w:val="20"/>
              </w:rPr>
              <w:t xml:space="preserve">Instagram feed embed</w:t>
            </w:r>
          </w:p>
        </w:tc>
        <w:tc>
          <w:tcPr>
            <w:tcW w:type="dxa" w:w="6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val="false"/>
                <w:bCs w:val="false"/>
                <w:color w:val="1A1A1A"/>
                <w:sz w:val="20"/>
                <w:szCs w:val="20"/>
              </w:rPr>
              <w:t xml:space="preserve">Keeps the site fresh and grows the existing @goldenknightsfc audience.</w:t>
            </w:r>
          </w:p>
        </w:tc>
      </w:tr>
      <w:tr>
        <w:tc>
          <w:tcPr>
            <w:tcW w:type="dxa" w:w="300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bCs/>
                <w:color w:val="1A1A1A"/>
                <w:sz w:val="20"/>
                <w:szCs w:val="20"/>
              </w:rPr>
              <w:t xml:space="preserve">WhatsApp click-to-chat</w:t>
            </w:r>
          </w:p>
        </w:tc>
        <w:tc>
          <w:tcPr>
            <w:tcW w:type="dxa" w:w="636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The most natural contact channel locally — one tap to message the academy.</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bCs/>
                <w:color w:val="1A1A1A"/>
                <w:sz w:val="20"/>
                <w:szCs w:val="20"/>
              </w:rPr>
              <w:t xml:space="preserve">Social sharing</w:t>
            </w:r>
          </w:p>
        </w:tc>
        <w:tc>
          <w:tcPr>
            <w:tcW w:type="dxa" w:w="6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val="false"/>
                <w:bCs w:val="false"/>
                <w:color w:val="1A1A1A"/>
                <w:sz w:val="20"/>
                <w:szCs w:val="20"/>
              </w:rPr>
              <w:t xml:space="preserve">Pre-made share images already exist in the asset pack so shared links look designed.</w:t>
            </w:r>
          </w:p>
        </w:tc>
      </w:tr>
      <w:tr>
        <w:tc>
          <w:tcPr>
            <w:tcW w:type="dxa" w:w="300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bCs/>
                <w:color w:val="1A1A1A"/>
                <w:sz w:val="20"/>
                <w:szCs w:val="20"/>
              </w:rPr>
              <w:t xml:space="preserve">Accessibility basics</w:t>
            </w:r>
          </w:p>
        </w:tc>
        <w:tc>
          <w:tcPr>
            <w:tcW w:type="dxa" w:w="636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Readable contrast, alt text, keyboard navigation — also helps SEO.</w:t>
            </w:r>
          </w:p>
        </w:tc>
      </w:tr>
    </w:tbl>
    <w:p>
      <w:pPr>
        <w:pStyle w:val="Heading1"/>
        <w:pageBreakBefore/>
      </w:pPr>
      <w:r>
        <w:t xml:space="preserve">9. Technology recommendations</w:t>
      </w:r>
    </w:p>
    <w:p>
      <w:pPr>
        <w:spacing w:after="140" w:line="276"/>
      </w:pPr>
      <w:r>
        <w:t xml:space="preserve">The right platform depends on who will maintain the site. Two sensible routes:</w:t>
      </w:r>
    </w:p>
    <w:p>
      <w:pPr>
        <w:pStyle w:val="Heading2"/>
      </w:pPr>
      <w:r>
        <w:t xml:space="preserve">Option A — Website builder (recommended for self-management)</w:t>
      </w:r>
    </w:p>
    <w:p>
      <w:pPr>
        <w:spacing w:after="140" w:line="276"/>
      </w:pPr>
      <w:r>
        <w:t xml:space="preserve">A platform such as Wix, Squarespace, or WordPress lets the academy update news, photos, and sponsor logos without a developer. Lowest ongoing cost and fastest to launch. Best if a coach, PA, or volunteer will keep it current.</w:t>
      </w:r>
    </w:p>
    <w:p>
      <w:pPr>
        <w:pStyle w:val="Heading2"/>
      </w:pPr>
      <w:r>
        <w:t xml:space="preserve">Option B — Custom-built site</w:t>
      </w:r>
    </w:p>
    <w:p>
      <w:pPr>
        <w:spacing w:after="140" w:line="276"/>
      </w:pPr>
      <w:r>
        <w:t xml:space="preserve">A hand-built site (e.g. a modern framework with a simple content manager) gives full control of the design and the best performance — closest to “the best of its kind.” It needs a developer for changes, so it suits a longer-term investment, ideally funded by a Platinum/Golden sponsor.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DDDDD" w:sz="1"/>
              <w:left w:val="single" w:color="DDDDDD" w:sz="1"/>
              <w:bottom w:val="single" w:color="DDDDDD" w:sz="1"/>
              <w:right w:val="single" w:color="DDDDDD" w:sz="1"/>
            </w:tcBorders>
            <w:shd w:fill="EE3030" w:val="clear"/>
            <w:tcMar>
              <w:top w:type="dxa" w:w="80"/>
              <w:left w:type="dxa" w:w="120"/>
              <w:bottom w:type="dxa" w:w="80"/>
              <w:right w:type="dxa" w:w="120"/>
            </w:tcMar>
            <w:vAlign w:val="center"/>
          </w:tcPr>
          <w:p>
            <w:r>
              <w:rPr>
                <w:b/>
                <w:bCs/>
                <w:color w:val="FFFFFF"/>
                <w:sz w:val="20"/>
                <w:szCs w:val="20"/>
              </w:rPr>
              <w:t xml:space="preserve">Item</w:t>
            </w:r>
          </w:p>
        </w:tc>
        <w:tc>
          <w:tcPr>
            <w:tcW w:type="dxa" w:w="6360"/>
            <w:tcBorders>
              <w:top w:val="single" w:color="DDDDDD" w:sz="1"/>
              <w:left w:val="single" w:color="DDDDDD" w:sz="1"/>
              <w:bottom w:val="single" w:color="DDDDDD" w:sz="1"/>
              <w:right w:val="single" w:color="DDDDDD" w:sz="1"/>
            </w:tcBorders>
            <w:shd w:fill="EE3030" w:val="clear"/>
            <w:tcMar>
              <w:top w:type="dxa" w:w="80"/>
              <w:left w:type="dxa" w:w="120"/>
              <w:bottom w:type="dxa" w:w="80"/>
              <w:right w:type="dxa" w:w="120"/>
            </w:tcMar>
            <w:vAlign w:val="center"/>
          </w:tcPr>
          <w:p>
            <w:r>
              <w:rPr>
                <w:b/>
                <w:bCs/>
                <w:color w:val="FFFFFF"/>
                <w:sz w:val="20"/>
                <w:szCs w:val="20"/>
              </w:rPr>
              <w:t xml:space="preserve">Recommendation</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bCs/>
                <w:color w:val="1A1A1A"/>
                <w:sz w:val="20"/>
                <w:szCs w:val="20"/>
              </w:rPr>
              <w:t xml:space="preserve">Domain</w:t>
            </w:r>
          </w:p>
        </w:tc>
        <w:tc>
          <w:tcPr>
            <w:tcW w:type="dxa" w:w="6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val="false"/>
                <w:bCs w:val="false"/>
                <w:color w:val="1A1A1A"/>
                <w:sz w:val="20"/>
                <w:szCs w:val="20"/>
              </w:rPr>
              <w:t xml:space="preserve">Secure a .co.za and/or .com (e.g. goldenknightsacademy.co.za) — short, memorable, matching the brand.</w:t>
            </w:r>
          </w:p>
        </w:tc>
      </w:tr>
      <w:tr>
        <w:tc>
          <w:tcPr>
            <w:tcW w:type="dxa" w:w="300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bCs/>
                <w:color w:val="1A1A1A"/>
                <w:sz w:val="20"/>
                <w:szCs w:val="20"/>
              </w:rPr>
              <w:t xml:space="preserve">Hosting</w:t>
            </w:r>
          </w:p>
        </w:tc>
        <w:tc>
          <w:tcPr>
            <w:tcW w:type="dxa" w:w="636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Reliable South African or global host with SSL (https) included as standard.</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bCs/>
                <w:color w:val="1A1A1A"/>
                <w:sz w:val="20"/>
                <w:szCs w:val="20"/>
              </w:rPr>
              <w:t xml:space="preserve">Email</w:t>
            </w:r>
          </w:p>
        </w:tc>
        <w:tc>
          <w:tcPr>
            <w:tcW w:type="dxa" w:w="6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val="false"/>
                <w:bCs w:val="false"/>
                <w:color w:val="1A1A1A"/>
                <w:sz w:val="20"/>
                <w:szCs w:val="20"/>
              </w:rPr>
              <w:t xml:space="preserve">A branded address (e.g. info@…) to look professional to sponsors, alongside the existing contacts.</w:t>
            </w:r>
          </w:p>
        </w:tc>
      </w:tr>
      <w:tr>
        <w:tc>
          <w:tcPr>
            <w:tcW w:type="dxa" w:w="300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bCs/>
                <w:color w:val="1A1A1A"/>
                <w:sz w:val="20"/>
                <w:szCs w:val="20"/>
              </w:rPr>
              <w:t xml:space="preserve">Analytics</w:t>
            </w:r>
          </w:p>
        </w:tc>
        <w:tc>
          <w:tcPr>
            <w:tcW w:type="dxa" w:w="636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Google Analytics 4 + Search Console from day one to measure the goals in Section 2.</w:t>
            </w:r>
          </w:p>
        </w:tc>
      </w:tr>
      <w:tr>
        <w:tc>
          <w:tcPr>
            <w:tcW w:type="dxa" w:w="30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bCs/>
                <w:color w:val="1A1A1A"/>
                <w:sz w:val="20"/>
                <w:szCs w:val="20"/>
              </w:rPr>
              <w:t xml:space="preserve">Brand assets</w:t>
            </w:r>
          </w:p>
        </w:tc>
        <w:tc>
          <w:tcPr>
            <w:tcW w:type="dxa" w:w="63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val="false"/>
                <w:bCs w:val="false"/>
                <w:color w:val="1A1A1A"/>
                <w:sz w:val="20"/>
                <w:szCs w:val="20"/>
              </w:rPr>
              <w:t xml:space="preserve">Drop in the existing asset pack: favicons, manifest, social images, and the provided HTML head tags.</w:t>
            </w:r>
          </w:p>
        </w:tc>
      </w:tr>
    </w:tbl>
    <w:p>
      <w:pPr>
        <w:spacing w:after="80"/>
      </w:pPr>
      <w:r>
        <w:t xml:space="preserve"/>
      </w:r>
    </w:p>
    <w:p>
      <w:pPr>
        <w:spacing w:after="140" w:line="276"/>
      </w:pPr>
      <w:r>
        <w:rPr>
          <w:i/>
          <w:iCs/>
          <w:color w:val="595959"/>
          <w:sz w:val="20"/>
          <w:szCs w:val="20"/>
        </w:rPr>
        <w:t xml:space="preserve">A short, structured comparison of specific builders and costs can be prepared as a follow-up once you choose a direction (Option A vs B).</w:t>
      </w:r>
    </w:p>
    <w:p>
      <w:pPr>
        <w:pStyle w:val="Heading1"/>
      </w:pPr>
      <w:r>
        <w:t xml:space="preserve">10. Being found — SEO &amp; social</w:t>
      </w:r>
    </w:p>
    <w:p>
      <w:pPr>
        <w:pStyle w:val="ListParagraph"/>
        <w:numPr>
          <w:ilvl w:val="0"/>
          <w:numId w:val="2"/>
        </w:numPr>
        <w:spacing w:after="60" w:line="270"/>
      </w:pPr>
      <w:r>
        <w:rPr>
          <w:b/>
          <w:bCs/>
          <w:color w:val="1A1A1A"/>
        </w:rPr>
        <w:t xml:space="preserve">Local SEO. </w:t>
      </w:r>
      <w:r>
        <w:t xml:space="preserve">Target searches like “soccer academy Midrand” and “youth football Gauteng.” Set up a free Google Business Profile so the academy appears on Maps and in local results.</w:t>
      </w:r>
    </w:p>
    <w:p>
      <w:pPr>
        <w:pStyle w:val="ListParagraph"/>
        <w:numPr>
          <w:ilvl w:val="0"/>
          <w:numId w:val="2"/>
        </w:numPr>
        <w:spacing w:after="60" w:line="270"/>
      </w:pPr>
      <w:r>
        <w:rPr>
          <w:b/>
          <w:bCs/>
          <w:color w:val="1A1A1A"/>
        </w:rPr>
        <w:t xml:space="preserve">Content engine. </w:t>
      </w:r>
      <w:r>
        <w:t xml:space="preserve">The news/blog (match reports, achievements) is what keeps the site fresh for Google over time.</w:t>
      </w:r>
    </w:p>
    <w:p>
      <w:pPr>
        <w:pStyle w:val="ListParagraph"/>
        <w:numPr>
          <w:ilvl w:val="0"/>
          <w:numId w:val="2"/>
        </w:numPr>
        <w:spacing w:after="60" w:line="270"/>
      </w:pPr>
      <w:r>
        <w:rPr>
          <w:b/>
          <w:bCs/>
          <w:color w:val="1A1A1A"/>
        </w:rPr>
        <w:t xml:space="preserve">Social integration. </w:t>
      </w:r>
      <w:r>
        <w:t xml:space="preserve">Drive the existing Instagram (@goldenknightsfc) from the site and vice-versa; consider Facebook and TikTok given the academy's community reach.</w:t>
      </w:r>
    </w:p>
    <w:p>
      <w:pPr>
        <w:pStyle w:val="ListParagraph"/>
        <w:numPr>
          <w:ilvl w:val="0"/>
          <w:numId w:val="2"/>
        </w:numPr>
        <w:spacing w:after="60" w:line="270"/>
      </w:pPr>
      <w:r>
        <w:rPr>
          <w:b/>
          <w:bCs/>
          <w:color w:val="1A1A1A"/>
        </w:rPr>
        <w:t xml:space="preserve">Share-ready by default. </w:t>
      </w:r>
      <w:r>
        <w:t xml:space="preserve">The asset pack's Open Graph and Twitter card images mean every link shared on WhatsApp or social already looks polished.</w:t>
      </w:r>
    </w:p>
    <w:p>
      <w:pPr>
        <w:pStyle w:val="Heading1"/>
        <w:pageBreakBefore/>
      </w:pPr>
      <w:r>
        <w:t xml:space="preserve">11. What we need to gather</w:t>
      </w:r>
    </w:p>
    <w:p>
      <w:pPr>
        <w:spacing w:after="140" w:line="276"/>
      </w:pPr>
      <w:r>
        <w:t xml:space="preserve">The biggest risk to a great site is missing content. The brand assets and the proposal are already done — here's the rest, with an owner suggested for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080"/>
        <w:gridCol w:w="3080"/>
      </w:tblGrid>
      <w:tr>
        <w:trPr>
          <w:tblHeader/>
        </w:trPr>
        <w:tc>
          <w:tcPr>
            <w:tcW w:type="dxa" w:w="4200"/>
            <w:tcBorders>
              <w:top w:val="single" w:color="DDDDDD" w:sz="1"/>
              <w:left w:val="single" w:color="DDDDDD" w:sz="1"/>
              <w:bottom w:val="single" w:color="DDDDDD" w:sz="1"/>
              <w:right w:val="single" w:color="DDDDDD" w:sz="1"/>
            </w:tcBorders>
            <w:shd w:fill="EE3030" w:val="clear"/>
            <w:tcMar>
              <w:top w:type="dxa" w:w="80"/>
              <w:left w:type="dxa" w:w="120"/>
              <w:bottom w:type="dxa" w:w="80"/>
              <w:right w:type="dxa" w:w="120"/>
            </w:tcMar>
            <w:vAlign w:val="center"/>
          </w:tcPr>
          <w:p>
            <w:r>
              <w:rPr>
                <w:b/>
                <w:bCs/>
                <w:color w:val="FFFFFF"/>
                <w:sz w:val="20"/>
                <w:szCs w:val="20"/>
              </w:rPr>
              <w:t xml:space="preserve">Content needed</w:t>
            </w:r>
          </w:p>
        </w:tc>
        <w:tc>
          <w:tcPr>
            <w:tcW w:type="dxa" w:w="2080"/>
            <w:tcBorders>
              <w:top w:val="single" w:color="DDDDDD" w:sz="1"/>
              <w:left w:val="single" w:color="DDDDDD" w:sz="1"/>
              <w:bottom w:val="single" w:color="DDDDDD" w:sz="1"/>
              <w:right w:val="single" w:color="DDDDDD" w:sz="1"/>
            </w:tcBorders>
            <w:shd w:fill="EE3030" w:val="clear"/>
            <w:tcMar>
              <w:top w:type="dxa" w:w="80"/>
              <w:left w:type="dxa" w:w="120"/>
              <w:bottom w:type="dxa" w:w="80"/>
              <w:right w:type="dxa" w:w="120"/>
            </w:tcMar>
            <w:vAlign w:val="center"/>
          </w:tcPr>
          <w:p>
            <w:r>
              <w:rPr>
                <w:b/>
                <w:bCs/>
                <w:color w:val="FFFFFF"/>
                <w:sz w:val="20"/>
                <w:szCs w:val="20"/>
              </w:rPr>
              <w:t xml:space="preserve">Status</w:t>
            </w:r>
          </w:p>
        </w:tc>
        <w:tc>
          <w:tcPr>
            <w:tcW w:type="dxa" w:w="3080"/>
            <w:tcBorders>
              <w:top w:val="single" w:color="DDDDDD" w:sz="1"/>
              <w:left w:val="single" w:color="DDDDDD" w:sz="1"/>
              <w:bottom w:val="single" w:color="DDDDDD" w:sz="1"/>
              <w:right w:val="single" w:color="DDDDDD" w:sz="1"/>
            </w:tcBorders>
            <w:shd w:fill="EE3030" w:val="clear"/>
            <w:tcMar>
              <w:top w:type="dxa" w:w="80"/>
              <w:left w:type="dxa" w:w="120"/>
              <w:bottom w:type="dxa" w:w="80"/>
              <w:right w:type="dxa" w:w="120"/>
            </w:tcMar>
            <w:vAlign w:val="center"/>
          </w:tcPr>
          <w:p>
            <w:r>
              <w:rPr>
                <w:b/>
                <w:bCs/>
                <w:color w:val="FFFFFF"/>
                <w:sz w:val="20"/>
                <w:szCs w:val="20"/>
              </w:rPr>
              <w:t xml:space="preserve">Owner / source</w:t>
            </w:r>
          </w:p>
        </w:tc>
      </w:tr>
      <w:tr>
        <w:tc>
          <w:tcPr>
            <w:tcW w:type="dxa" w:w="4200"/>
            <w:tcBorders>
              <w:top w:val="single" w:color="DDDDDD" w:sz="1"/>
              <w:left w:val="single" w:color="DDDDDD" w:sz="1"/>
              <w:bottom w:val="single" w:color="DDDDDD" w:sz="1"/>
              <w:right w:val="single" w:color="DDDDDD" w:sz="1"/>
            </w:tcBorders>
            <w:shd w:fill="F2FBF2" w:val="clear"/>
            <w:tcMar>
              <w:top w:type="dxa" w:w="70"/>
              <w:left w:type="dxa" w:w="120"/>
              <w:bottom w:type="dxa" w:w="70"/>
              <w:right w:type="dxa" w:w="120"/>
            </w:tcMar>
            <w:vAlign w:val="center"/>
          </w:tcPr>
          <w:p>
            <w:r>
              <w:rPr>
                <w:b w:val="false"/>
                <w:bCs w:val="false"/>
                <w:color w:val="1A1A1A"/>
                <w:sz w:val="20"/>
                <w:szCs w:val="20"/>
              </w:rPr>
              <w:t xml:space="preserve">Brand assets (logo, favicons, social images)</w:t>
            </w:r>
          </w:p>
        </w:tc>
        <w:tc>
          <w:tcPr>
            <w:tcW w:type="dxa" w:w="2080"/>
            <w:tcBorders>
              <w:top w:val="single" w:color="DDDDDD" w:sz="1"/>
              <w:left w:val="single" w:color="DDDDDD" w:sz="1"/>
              <w:bottom w:val="single" w:color="DDDDDD" w:sz="1"/>
              <w:right w:val="single" w:color="DDDDDD" w:sz="1"/>
            </w:tcBorders>
            <w:shd w:fill="F2FBF2" w:val="clear"/>
            <w:tcMar>
              <w:top w:type="dxa" w:w="70"/>
              <w:left w:type="dxa" w:w="120"/>
              <w:bottom w:type="dxa" w:w="70"/>
              <w:right w:type="dxa" w:w="120"/>
            </w:tcMar>
            <w:vAlign w:val="center"/>
          </w:tcPr>
          <w:p>
            <w:r>
              <w:rPr>
                <w:b w:val="false"/>
                <w:bCs w:val="false"/>
                <w:color w:val="1A1A1A"/>
                <w:sz w:val="20"/>
                <w:szCs w:val="20"/>
              </w:rPr>
              <w:t xml:space="preserve">Ready</w:t>
            </w:r>
          </w:p>
        </w:tc>
        <w:tc>
          <w:tcPr>
            <w:tcW w:type="dxa" w:w="3080"/>
            <w:tcBorders>
              <w:top w:val="single" w:color="DDDDDD" w:sz="1"/>
              <w:left w:val="single" w:color="DDDDDD" w:sz="1"/>
              <w:bottom w:val="single" w:color="DDDDDD" w:sz="1"/>
              <w:right w:val="single" w:color="DDDDDD" w:sz="1"/>
            </w:tcBorders>
            <w:shd w:fill="F2FBF2" w:val="clear"/>
            <w:tcMar>
              <w:top w:type="dxa" w:w="70"/>
              <w:left w:type="dxa" w:w="120"/>
              <w:bottom w:type="dxa" w:w="70"/>
              <w:right w:type="dxa" w:w="120"/>
            </w:tcMar>
            <w:vAlign w:val="center"/>
          </w:tcPr>
          <w:p>
            <w:r>
              <w:rPr>
                <w:b w:val="false"/>
                <w:bCs w:val="false"/>
                <w:color w:val="1A1A1A"/>
                <w:sz w:val="20"/>
                <w:szCs w:val="20"/>
              </w:rPr>
              <w:t xml:space="preserve">In the asset pack provided</w:t>
            </w:r>
          </w:p>
        </w:tc>
      </w:tr>
      <w:tr>
        <w:tc>
          <w:tcPr>
            <w:tcW w:type="dxa" w:w="4200"/>
            <w:tcBorders>
              <w:top w:val="single" w:color="DDDDDD" w:sz="1"/>
              <w:left w:val="single" w:color="DDDDDD" w:sz="1"/>
              <w:bottom w:val="single" w:color="DDDDDD" w:sz="1"/>
              <w:right w:val="single" w:color="DDDDDD" w:sz="1"/>
            </w:tcBorders>
            <w:shd w:fill="F2FBF2" w:val="clear"/>
            <w:tcMar>
              <w:top w:type="dxa" w:w="70"/>
              <w:left w:type="dxa" w:w="120"/>
              <w:bottom w:type="dxa" w:w="70"/>
              <w:right w:type="dxa" w:w="120"/>
            </w:tcMar>
            <w:vAlign w:val="center"/>
          </w:tcPr>
          <w:p>
            <w:r>
              <w:rPr>
                <w:b w:val="false"/>
                <w:bCs w:val="false"/>
                <w:color w:val="1A1A1A"/>
                <w:sz w:val="20"/>
                <w:szCs w:val="20"/>
              </w:rPr>
              <w:t xml:space="preserve">Sponsorship proposal (PDF)</w:t>
            </w:r>
          </w:p>
        </w:tc>
        <w:tc>
          <w:tcPr>
            <w:tcW w:type="dxa" w:w="2080"/>
            <w:tcBorders>
              <w:top w:val="single" w:color="DDDDDD" w:sz="1"/>
              <w:left w:val="single" w:color="DDDDDD" w:sz="1"/>
              <w:bottom w:val="single" w:color="DDDDDD" w:sz="1"/>
              <w:right w:val="single" w:color="DDDDDD" w:sz="1"/>
            </w:tcBorders>
            <w:shd w:fill="F2FBF2" w:val="clear"/>
            <w:tcMar>
              <w:top w:type="dxa" w:w="70"/>
              <w:left w:type="dxa" w:w="120"/>
              <w:bottom w:type="dxa" w:w="70"/>
              <w:right w:type="dxa" w:w="120"/>
            </w:tcMar>
            <w:vAlign w:val="center"/>
          </w:tcPr>
          <w:p>
            <w:r>
              <w:rPr>
                <w:b w:val="false"/>
                <w:bCs w:val="false"/>
                <w:color w:val="1A1A1A"/>
                <w:sz w:val="20"/>
                <w:szCs w:val="20"/>
              </w:rPr>
              <w:t xml:space="preserve">Ready</w:t>
            </w:r>
          </w:p>
        </w:tc>
        <w:tc>
          <w:tcPr>
            <w:tcW w:type="dxa" w:w="3080"/>
            <w:tcBorders>
              <w:top w:val="single" w:color="DDDDDD" w:sz="1"/>
              <w:left w:val="single" w:color="DDDDDD" w:sz="1"/>
              <w:bottom w:val="single" w:color="DDDDDD" w:sz="1"/>
              <w:right w:val="single" w:color="DDDDDD" w:sz="1"/>
            </w:tcBorders>
            <w:shd w:fill="F2FBF2" w:val="clear"/>
            <w:tcMar>
              <w:top w:type="dxa" w:w="70"/>
              <w:left w:type="dxa" w:w="120"/>
              <w:bottom w:type="dxa" w:w="70"/>
              <w:right w:type="dxa" w:w="120"/>
            </w:tcMar>
            <w:vAlign w:val="center"/>
          </w:tcPr>
          <w:p>
            <w:r>
              <w:rPr>
                <w:b w:val="false"/>
                <w:bCs w:val="false"/>
                <w:color w:val="1A1A1A"/>
                <w:sz w:val="20"/>
                <w:szCs w:val="20"/>
              </w:rPr>
              <w:t xml:space="preserve">Existing GKSA proposal</w:t>
            </w:r>
          </w:p>
        </w:tc>
      </w:tr>
      <w:tr>
        <w:tc>
          <w:tcPr>
            <w:tcW w:type="dxa" w:w="4200"/>
            <w:tcBorders>
              <w:top w:val="single" w:color="DDDDDD" w:sz="1"/>
              <w:left w:val="single" w:color="DDDDDD" w:sz="1"/>
              <w:bottom w:val="single" w:color="DDDDDD" w:sz="1"/>
              <w:right w:val="single" w:color="DDDDDD" w:sz="1"/>
            </w:tcBorders>
            <w:shd w:fill="F2FBF2" w:val="clear"/>
            <w:tcMar>
              <w:top w:type="dxa" w:w="70"/>
              <w:left w:type="dxa" w:w="120"/>
              <w:bottom w:type="dxa" w:w="70"/>
              <w:right w:type="dxa" w:w="120"/>
            </w:tcMar>
            <w:vAlign w:val="center"/>
          </w:tcPr>
          <w:p>
            <w:r>
              <w:rPr>
                <w:b w:val="false"/>
                <w:bCs w:val="false"/>
                <w:color w:val="1A1A1A"/>
                <w:sz w:val="20"/>
                <w:szCs w:val="20"/>
              </w:rPr>
              <w:t xml:space="preserve">Founding story, vision, mission, values</w:t>
            </w:r>
          </w:p>
        </w:tc>
        <w:tc>
          <w:tcPr>
            <w:tcW w:type="dxa" w:w="2080"/>
            <w:tcBorders>
              <w:top w:val="single" w:color="DDDDDD" w:sz="1"/>
              <w:left w:val="single" w:color="DDDDDD" w:sz="1"/>
              <w:bottom w:val="single" w:color="DDDDDD" w:sz="1"/>
              <w:right w:val="single" w:color="DDDDDD" w:sz="1"/>
            </w:tcBorders>
            <w:shd w:fill="F2FBF2" w:val="clear"/>
            <w:tcMar>
              <w:top w:type="dxa" w:w="70"/>
              <w:left w:type="dxa" w:w="120"/>
              <w:bottom w:type="dxa" w:w="70"/>
              <w:right w:type="dxa" w:w="120"/>
            </w:tcMar>
            <w:vAlign w:val="center"/>
          </w:tcPr>
          <w:p>
            <w:r>
              <w:rPr>
                <w:b w:val="false"/>
                <w:bCs w:val="false"/>
                <w:color w:val="1A1A1A"/>
                <w:sz w:val="20"/>
                <w:szCs w:val="20"/>
              </w:rPr>
              <w:t xml:space="preserve">Ready</w:t>
            </w:r>
          </w:p>
        </w:tc>
        <w:tc>
          <w:tcPr>
            <w:tcW w:type="dxa" w:w="3080"/>
            <w:tcBorders>
              <w:top w:val="single" w:color="DDDDDD" w:sz="1"/>
              <w:left w:val="single" w:color="DDDDDD" w:sz="1"/>
              <w:bottom w:val="single" w:color="DDDDDD" w:sz="1"/>
              <w:right w:val="single" w:color="DDDDDD" w:sz="1"/>
            </w:tcBorders>
            <w:shd w:fill="F2FBF2" w:val="clear"/>
            <w:tcMar>
              <w:top w:type="dxa" w:w="70"/>
              <w:left w:type="dxa" w:w="120"/>
              <w:bottom w:type="dxa" w:w="70"/>
              <w:right w:type="dxa" w:w="120"/>
            </w:tcMar>
            <w:vAlign w:val="center"/>
          </w:tcPr>
          <w:p>
            <w:r>
              <w:rPr>
                <w:b w:val="false"/>
                <w:bCs w:val="false"/>
                <w:color w:val="1A1A1A"/>
                <w:sz w:val="20"/>
                <w:szCs w:val="20"/>
              </w:rPr>
              <w:t xml:space="preserve">From the proposal — light editing only</w:t>
            </w:r>
          </w:p>
        </w:tc>
      </w:tr>
      <w:tr>
        <w:tc>
          <w:tcPr>
            <w:tcW w:type="dxa" w:w="420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bCs/>
                <w:color w:val="1A1A1A"/>
                <w:sz w:val="20"/>
                <w:szCs w:val="20"/>
              </w:rPr>
              <w:t xml:space="preserve">Coach bios + photos</w:t>
            </w:r>
          </w:p>
        </w:tc>
        <w:tc>
          <w:tcPr>
            <w:tcW w:type="dxa" w:w="208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To gather</w:t>
            </w:r>
          </w:p>
        </w:tc>
        <w:tc>
          <w:tcPr>
            <w:tcW w:type="dxa" w:w="308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Academy / coaching staff</w:t>
            </w:r>
          </w:p>
        </w:tc>
      </w:tr>
      <w:tr>
        <w:tc>
          <w:tcPr>
            <w:tcW w:type="dxa" w:w="4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bCs/>
                <w:color w:val="1A1A1A"/>
                <w:sz w:val="20"/>
                <w:szCs w:val="20"/>
              </w:rPr>
              <w:t xml:space="preserve">Up-to-date team photos by age group</w:t>
            </w:r>
          </w:p>
        </w:tc>
        <w:tc>
          <w:tcPr>
            <w:tcW w:type="dxa" w:w="20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val="false"/>
                <w:bCs w:val="false"/>
                <w:color w:val="1A1A1A"/>
                <w:sz w:val="20"/>
                <w:szCs w:val="20"/>
              </w:rPr>
              <w:t xml:space="preserve">To gather</w:t>
            </w:r>
          </w:p>
        </w:tc>
        <w:tc>
          <w:tcPr>
            <w:tcW w:type="dxa" w:w="30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val="false"/>
                <w:bCs w:val="false"/>
                <w:color w:val="1A1A1A"/>
                <w:sz w:val="20"/>
                <w:szCs w:val="20"/>
              </w:rPr>
              <w:t xml:space="preserve">Academy (recent match days)</w:t>
            </w:r>
          </w:p>
        </w:tc>
      </w:tr>
      <w:tr>
        <w:tc>
          <w:tcPr>
            <w:tcW w:type="dxa" w:w="420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bCs/>
                <w:color w:val="1A1A1A"/>
                <w:sz w:val="20"/>
                <w:szCs w:val="20"/>
              </w:rPr>
              <w:t xml:space="preserve">High-quality action &amp; training photos</w:t>
            </w:r>
          </w:p>
        </w:tc>
        <w:tc>
          <w:tcPr>
            <w:tcW w:type="dxa" w:w="208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Partly ready</w:t>
            </w:r>
          </w:p>
        </w:tc>
        <w:tc>
          <w:tcPr>
            <w:tcW w:type="dxa" w:w="308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Existing photos + a fresh shoot if possible</w:t>
            </w:r>
          </w:p>
        </w:tc>
      </w:tr>
      <w:tr>
        <w:tc>
          <w:tcPr>
            <w:tcW w:type="dxa" w:w="4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bCs/>
                <w:color w:val="1A1A1A"/>
                <w:sz w:val="20"/>
                <w:szCs w:val="20"/>
              </w:rPr>
              <w:t xml:space="preserve">Current fixtures, results &amp; leagues</w:t>
            </w:r>
          </w:p>
        </w:tc>
        <w:tc>
          <w:tcPr>
            <w:tcW w:type="dxa" w:w="20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val="false"/>
                <w:bCs w:val="false"/>
                <w:color w:val="1A1A1A"/>
                <w:sz w:val="20"/>
                <w:szCs w:val="20"/>
              </w:rPr>
              <w:t xml:space="preserve">To gather</w:t>
            </w:r>
          </w:p>
        </w:tc>
        <w:tc>
          <w:tcPr>
            <w:tcW w:type="dxa" w:w="30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val="false"/>
                <w:bCs w:val="false"/>
                <w:color w:val="1A1A1A"/>
                <w:sz w:val="20"/>
                <w:szCs w:val="20"/>
              </w:rPr>
              <w:t xml:space="preserve">Academy</w:t>
            </w:r>
          </w:p>
        </w:tc>
      </w:tr>
      <w:tr>
        <w:tc>
          <w:tcPr>
            <w:tcW w:type="dxa" w:w="420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bCs/>
                <w:color w:val="1A1A1A"/>
                <w:sz w:val="20"/>
                <w:szCs w:val="20"/>
              </w:rPr>
              <w:t xml:space="preserve">List of current sponsors + their logos</w:t>
            </w:r>
          </w:p>
        </w:tc>
        <w:tc>
          <w:tcPr>
            <w:tcW w:type="dxa" w:w="208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To gather</w:t>
            </w:r>
          </w:p>
        </w:tc>
        <w:tc>
          <w:tcPr>
            <w:tcW w:type="dxa" w:w="308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Academy</w:t>
            </w:r>
          </w:p>
        </w:tc>
      </w:tr>
      <w:tr>
        <w:tc>
          <w:tcPr>
            <w:tcW w:type="dxa" w:w="4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bCs/>
                <w:color w:val="1A1A1A"/>
                <w:sz w:val="20"/>
                <w:szCs w:val="20"/>
              </w:rPr>
              <w:t xml:space="preserve">Programme details (age groups, fees, schedule)</w:t>
            </w:r>
          </w:p>
        </w:tc>
        <w:tc>
          <w:tcPr>
            <w:tcW w:type="dxa" w:w="20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val="false"/>
                <w:bCs w:val="false"/>
                <w:color w:val="1A1A1A"/>
                <w:sz w:val="20"/>
                <w:szCs w:val="20"/>
              </w:rPr>
              <w:t xml:space="preserve">To confirm</w:t>
            </w:r>
          </w:p>
        </w:tc>
        <w:tc>
          <w:tcPr>
            <w:tcW w:type="dxa" w:w="30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val="false"/>
                <w:bCs w:val="false"/>
                <w:color w:val="1A1A1A"/>
                <w:sz w:val="20"/>
                <w:szCs w:val="20"/>
              </w:rPr>
              <w:t xml:space="preserve">Head coach</w:t>
            </w:r>
          </w:p>
        </w:tc>
      </w:tr>
      <w:tr>
        <w:tc>
          <w:tcPr>
            <w:tcW w:type="dxa" w:w="420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bCs/>
                <w:color w:val="1A1A1A"/>
                <w:sz w:val="20"/>
                <w:szCs w:val="20"/>
              </w:rPr>
              <w:t xml:space="preserve">Training location / address for the map</w:t>
            </w:r>
          </w:p>
        </w:tc>
        <w:tc>
          <w:tcPr>
            <w:tcW w:type="dxa" w:w="208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To confirm</w:t>
            </w:r>
          </w:p>
        </w:tc>
        <w:tc>
          <w:tcPr>
            <w:tcW w:type="dxa" w:w="308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Academy</w:t>
            </w:r>
          </w:p>
        </w:tc>
      </w:tr>
      <w:tr>
        <w:tc>
          <w:tcPr>
            <w:tcW w:type="dxa" w:w="42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bCs/>
                <w:color w:val="1A1A1A"/>
                <w:sz w:val="20"/>
                <w:szCs w:val="20"/>
              </w:rPr>
              <w:t xml:space="preserve">A few parent / player testimonials</w:t>
            </w:r>
          </w:p>
        </w:tc>
        <w:tc>
          <w:tcPr>
            <w:tcW w:type="dxa" w:w="20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val="false"/>
                <w:bCs w:val="false"/>
                <w:color w:val="1A1A1A"/>
                <w:sz w:val="20"/>
                <w:szCs w:val="20"/>
              </w:rPr>
              <w:t xml:space="preserve">Nice to have</w:t>
            </w:r>
          </w:p>
        </w:tc>
        <w:tc>
          <w:tcPr>
            <w:tcW w:type="dxa" w:w="308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val="false"/>
                <w:bCs w:val="false"/>
                <w:color w:val="1A1A1A"/>
                <w:sz w:val="20"/>
                <w:szCs w:val="20"/>
              </w:rPr>
              <w:t xml:space="preserve">Academy community</w:t>
            </w:r>
          </w:p>
        </w:tc>
      </w:tr>
    </w:tbl>
    <w:p>
      <w:pPr>
        <w:pStyle w:val="Heading1"/>
        <w:pageBreakBefore/>
      </w:pPr>
      <w:r>
        <w:t xml:space="preserve">12. Roadmap — how we get there</w:t>
      </w:r>
    </w:p>
    <w:p>
      <w:pPr>
        <w:spacing w:after="140" w:line="276"/>
      </w:pPr>
      <w:r>
        <w:t xml:space="preserve">A staged plan that gets a credible site live quickly, then strengthens it. Phase 1 is enough to start attracting sponsors; later phases add depth.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60"/>
        <w:gridCol w:w="3100"/>
        <w:gridCol w:w="1500"/>
      </w:tblGrid>
      <w:tr>
        <w:trPr>
          <w:tblHeader/>
        </w:trPr>
        <w:tc>
          <w:tcPr>
            <w:tcW w:type="dxa" w:w="1500"/>
            <w:tcBorders>
              <w:top w:val="single" w:color="DDDDDD" w:sz="1"/>
              <w:left w:val="single" w:color="DDDDDD" w:sz="1"/>
              <w:bottom w:val="single" w:color="DDDDDD" w:sz="1"/>
              <w:right w:val="single" w:color="DDDDDD" w:sz="1"/>
            </w:tcBorders>
            <w:shd w:fill="EE3030" w:val="clear"/>
            <w:tcMar>
              <w:top w:type="dxa" w:w="80"/>
              <w:left w:type="dxa" w:w="120"/>
              <w:bottom w:type="dxa" w:w="80"/>
              <w:right w:type="dxa" w:w="120"/>
            </w:tcMar>
            <w:vAlign w:val="center"/>
          </w:tcPr>
          <w:p>
            <w:r>
              <w:rPr>
                <w:b/>
                <w:bCs/>
                <w:color w:val="FFFFFF"/>
                <w:sz w:val="20"/>
                <w:szCs w:val="20"/>
              </w:rPr>
              <w:t xml:space="preserve">Phase</w:t>
            </w:r>
          </w:p>
        </w:tc>
        <w:tc>
          <w:tcPr>
            <w:tcW w:type="dxa" w:w="3260"/>
            <w:tcBorders>
              <w:top w:val="single" w:color="DDDDDD" w:sz="1"/>
              <w:left w:val="single" w:color="DDDDDD" w:sz="1"/>
              <w:bottom w:val="single" w:color="DDDDDD" w:sz="1"/>
              <w:right w:val="single" w:color="DDDDDD" w:sz="1"/>
            </w:tcBorders>
            <w:shd w:fill="EE3030" w:val="clear"/>
            <w:tcMar>
              <w:top w:type="dxa" w:w="80"/>
              <w:left w:type="dxa" w:w="120"/>
              <w:bottom w:type="dxa" w:w="80"/>
              <w:right w:type="dxa" w:w="120"/>
            </w:tcMar>
            <w:vAlign w:val="center"/>
          </w:tcPr>
          <w:p>
            <w:r>
              <w:rPr>
                <w:b/>
                <w:bCs/>
                <w:color w:val="FFFFFF"/>
                <w:sz w:val="20"/>
                <w:szCs w:val="20"/>
              </w:rPr>
              <w:t xml:space="preserve">Focus</w:t>
            </w:r>
          </w:p>
        </w:tc>
        <w:tc>
          <w:tcPr>
            <w:tcW w:type="dxa" w:w="3100"/>
            <w:tcBorders>
              <w:top w:val="single" w:color="DDDDDD" w:sz="1"/>
              <w:left w:val="single" w:color="DDDDDD" w:sz="1"/>
              <w:bottom w:val="single" w:color="DDDDDD" w:sz="1"/>
              <w:right w:val="single" w:color="DDDDDD" w:sz="1"/>
            </w:tcBorders>
            <w:shd w:fill="EE3030" w:val="clear"/>
            <w:tcMar>
              <w:top w:type="dxa" w:w="80"/>
              <w:left w:type="dxa" w:w="120"/>
              <w:bottom w:type="dxa" w:w="80"/>
              <w:right w:type="dxa" w:w="120"/>
            </w:tcMar>
            <w:vAlign w:val="center"/>
          </w:tcPr>
          <w:p>
            <w:r>
              <w:rPr>
                <w:b/>
                <w:bCs/>
                <w:color w:val="FFFFFF"/>
                <w:sz w:val="20"/>
                <w:szCs w:val="20"/>
              </w:rPr>
              <w:t xml:space="preserve">Deliverables</w:t>
            </w:r>
          </w:p>
        </w:tc>
        <w:tc>
          <w:tcPr>
            <w:tcW w:type="dxa" w:w="1500"/>
            <w:tcBorders>
              <w:top w:val="single" w:color="DDDDDD" w:sz="1"/>
              <w:left w:val="single" w:color="DDDDDD" w:sz="1"/>
              <w:bottom w:val="single" w:color="DDDDDD" w:sz="1"/>
              <w:right w:val="single" w:color="DDDDDD" w:sz="1"/>
            </w:tcBorders>
            <w:shd w:fill="EE3030" w:val="clear"/>
            <w:tcMar>
              <w:top w:type="dxa" w:w="80"/>
              <w:left w:type="dxa" w:w="120"/>
              <w:bottom w:type="dxa" w:w="80"/>
              <w:right w:type="dxa" w:w="120"/>
            </w:tcMar>
            <w:vAlign w:val="center"/>
          </w:tcPr>
          <w:p>
            <w:r>
              <w:rPr>
                <w:b/>
                <w:bCs/>
                <w:color w:val="FFFFFF"/>
                <w:sz w:val="20"/>
                <w:szCs w:val="20"/>
              </w:rPr>
              <w:t xml:space="preserve">Stage</w:t>
            </w:r>
          </w:p>
        </w:tc>
      </w:tr>
      <w:tr>
        <w:tc>
          <w:tcPr>
            <w:tcW w:type="dxa" w:w="1500"/>
            <w:tcBorders>
              <w:top w:val="single" w:color="DDDDDD" w:sz="1"/>
              <w:left w:val="single" w:color="DDDDDD" w:sz="1"/>
              <w:bottom w:val="single" w:color="DDDDDD" w:sz="1"/>
              <w:right w:val="single" w:color="DDDDDD" w:sz="1"/>
            </w:tcBorders>
            <w:shd w:fill="FBE0E0" w:val="clear"/>
            <w:tcMar>
              <w:top w:type="dxa" w:w="70"/>
              <w:left w:type="dxa" w:w="120"/>
              <w:bottom w:type="dxa" w:w="70"/>
              <w:right w:type="dxa" w:w="120"/>
            </w:tcMar>
            <w:vAlign w:val="center"/>
          </w:tcPr>
          <w:p>
            <w:r>
              <w:rPr>
                <w:b/>
                <w:bCs/>
                <w:color w:val="1A1A1A"/>
                <w:sz w:val="20"/>
                <w:szCs w:val="20"/>
              </w:rPr>
              <w:t xml:space="preserve">Phase 1</w:t>
            </w:r>
          </w:p>
        </w:tc>
        <w:tc>
          <w:tcPr>
            <w:tcW w:type="dxa" w:w="3260"/>
            <w:tcBorders>
              <w:top w:val="single" w:color="DDDDDD" w:sz="1"/>
              <w:left w:val="single" w:color="DDDDDD" w:sz="1"/>
              <w:bottom w:val="single" w:color="DDDDDD" w:sz="1"/>
              <w:right w:val="single" w:color="DDDDDD" w:sz="1"/>
            </w:tcBorders>
            <w:shd w:fill="FBE0E0" w:val="clear"/>
            <w:tcMar>
              <w:top w:type="dxa" w:w="70"/>
              <w:left w:type="dxa" w:w="120"/>
              <w:bottom w:type="dxa" w:w="70"/>
              <w:right w:type="dxa" w:w="120"/>
            </w:tcMar>
            <w:vAlign w:val="center"/>
          </w:tcPr>
          <w:p>
            <w:r>
              <w:rPr>
                <w:b w:val="false"/>
                <w:bCs w:val="false"/>
                <w:color w:val="1A1A1A"/>
                <w:sz w:val="20"/>
                <w:szCs w:val="20"/>
              </w:rPr>
              <w:t xml:space="preserve">Foundation &amp; launch</w:t>
            </w:r>
          </w:p>
        </w:tc>
        <w:tc>
          <w:tcPr>
            <w:tcW w:type="dxa" w:w="3100"/>
            <w:tcBorders>
              <w:top w:val="single" w:color="DDDDDD" w:sz="1"/>
              <w:left w:val="single" w:color="DDDDDD" w:sz="1"/>
              <w:bottom w:val="single" w:color="DDDDDD" w:sz="1"/>
              <w:right w:val="single" w:color="DDDDDD" w:sz="1"/>
            </w:tcBorders>
            <w:shd w:fill="FBE0E0" w:val="clear"/>
            <w:tcMar>
              <w:top w:type="dxa" w:w="70"/>
              <w:left w:type="dxa" w:w="120"/>
              <w:bottom w:type="dxa" w:w="70"/>
              <w:right w:type="dxa" w:w="120"/>
            </w:tcMar>
            <w:vAlign w:val="center"/>
          </w:tcPr>
          <w:p>
            <w:r>
              <w:rPr>
                <w:b w:val="false"/>
                <w:bCs w:val="false"/>
                <w:color w:val="1A1A1A"/>
                <w:sz w:val="20"/>
                <w:szCs w:val="20"/>
              </w:rPr>
              <w:t xml:space="preserve">Domain, hosting, brand setup, core pages (Home, About, Programmes, Sponsors, Contact), forms, proposal download</w:t>
            </w:r>
          </w:p>
        </w:tc>
        <w:tc>
          <w:tcPr>
            <w:tcW w:type="dxa" w:w="1500"/>
            <w:tcBorders>
              <w:top w:val="single" w:color="DDDDDD" w:sz="1"/>
              <w:left w:val="single" w:color="DDDDDD" w:sz="1"/>
              <w:bottom w:val="single" w:color="DDDDDD" w:sz="1"/>
              <w:right w:val="single" w:color="DDDDDD" w:sz="1"/>
            </w:tcBorders>
            <w:shd w:fill="FBE0E0" w:val="clear"/>
            <w:tcMar>
              <w:top w:type="dxa" w:w="70"/>
              <w:left w:type="dxa" w:w="120"/>
              <w:bottom w:type="dxa" w:w="70"/>
              <w:right w:type="dxa" w:w="120"/>
            </w:tcMar>
            <w:vAlign w:val="center"/>
          </w:tcPr>
          <w:p>
            <w:r>
              <w:rPr>
                <w:b/>
                <w:bCs/>
                <w:color w:val="1A1A1A"/>
                <w:sz w:val="20"/>
                <w:szCs w:val="20"/>
              </w:rPr>
              <w:t xml:space="preserve">Launch</w:t>
            </w:r>
          </w:p>
        </w:tc>
      </w:tr>
      <w:tr>
        <w:tc>
          <w:tcPr>
            <w:tcW w:type="dxa" w:w="150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bCs/>
                <w:color w:val="1A1A1A"/>
                <w:sz w:val="20"/>
                <w:szCs w:val="20"/>
              </w:rPr>
              <w:t xml:space="preserve">Phase 2</w:t>
            </w:r>
          </w:p>
        </w:tc>
        <w:tc>
          <w:tcPr>
            <w:tcW w:type="dxa" w:w="326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Depth &amp; engagement</w:t>
            </w:r>
          </w:p>
        </w:tc>
        <w:tc>
          <w:tcPr>
            <w:tcW w:type="dxa" w:w="310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Teams &amp; Fixtures, Gallery, News/blog, Instagram feed, sponsor wall build-out</w:t>
            </w:r>
          </w:p>
        </w:tc>
        <w:tc>
          <w:tcPr>
            <w:tcW w:type="dxa" w:w="150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Post-launch</w:t>
            </w:r>
          </w:p>
        </w:tc>
      </w:tr>
      <w:tr>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bCs/>
                <w:color w:val="1A1A1A"/>
                <w:sz w:val="20"/>
                <w:szCs w:val="20"/>
              </w:rPr>
              <w:t xml:space="preserve">Phase 3</w:t>
            </w:r>
          </w:p>
        </w:tc>
        <w:tc>
          <w:tcPr>
            <w:tcW w:type="dxa" w:w="326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val="false"/>
                <w:bCs w:val="false"/>
                <w:color w:val="1A1A1A"/>
                <w:sz w:val="20"/>
                <w:szCs w:val="20"/>
              </w:rPr>
              <w:t xml:space="preserve">Growth</w:t>
            </w:r>
          </w:p>
        </w:tc>
        <w:tc>
          <w:tcPr>
            <w:tcW w:type="dxa" w:w="31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val="false"/>
                <w:bCs w:val="false"/>
                <w:color w:val="1A1A1A"/>
                <w:sz w:val="20"/>
                <w:szCs w:val="20"/>
              </w:rPr>
              <w:t xml:space="preserve">Merchandise/shop, testimonials, video, SEO content cadence, analytics review</w:t>
            </w:r>
          </w:p>
        </w:tc>
        <w:tc>
          <w:tcPr>
            <w:tcW w:type="dxa" w:w="1500"/>
            <w:tcBorders>
              <w:top w:val="single" w:color="DDDDDD" w:sz="1"/>
              <w:left w:val="single" w:color="DDDDDD" w:sz="1"/>
              <w:bottom w:val="single" w:color="DDDDDD" w:sz="1"/>
              <w:right w:val="single" w:color="DDDDDD" w:sz="1"/>
            </w:tcBorders>
            <w:shd w:fill="FFFFFF" w:val="clear"/>
            <w:tcMar>
              <w:top w:type="dxa" w:w="70"/>
              <w:left w:type="dxa" w:w="120"/>
              <w:bottom w:type="dxa" w:w="70"/>
              <w:right w:type="dxa" w:w="120"/>
            </w:tcMar>
            <w:vAlign w:val="center"/>
          </w:tcPr>
          <w:p>
            <w:r>
              <w:rPr>
                <w:b w:val="false"/>
                <w:bCs w:val="false"/>
                <w:color w:val="1A1A1A"/>
                <w:sz w:val="20"/>
                <w:szCs w:val="20"/>
              </w:rPr>
              <w:t xml:space="preserve">Ongoing</w:t>
            </w:r>
          </w:p>
        </w:tc>
      </w:tr>
      <w:tr>
        <w:tc>
          <w:tcPr>
            <w:tcW w:type="dxa" w:w="150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bCs/>
                <w:color w:val="1A1A1A"/>
                <w:sz w:val="20"/>
                <w:szCs w:val="20"/>
              </w:rPr>
              <w:t xml:space="preserve">Phase 4</w:t>
            </w:r>
          </w:p>
        </w:tc>
        <w:tc>
          <w:tcPr>
            <w:tcW w:type="dxa" w:w="326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Optimise</w:t>
            </w:r>
          </w:p>
        </w:tc>
        <w:tc>
          <w:tcPr>
            <w:tcW w:type="dxa" w:w="310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Review against the Section 2 metrics; refine the sponsor funnel based on real data</w:t>
            </w:r>
          </w:p>
        </w:tc>
        <w:tc>
          <w:tcPr>
            <w:tcW w:type="dxa" w:w="1500"/>
            <w:tcBorders>
              <w:top w:val="single" w:color="DDDDDD" w:sz="1"/>
              <w:left w:val="single" w:color="DDDDDD" w:sz="1"/>
              <w:bottom w:val="single" w:color="DDDDDD" w:sz="1"/>
              <w:right w:val="single" w:color="DDDDDD" w:sz="1"/>
            </w:tcBorders>
            <w:shd w:fill="F2F2F2" w:val="clear"/>
            <w:tcMar>
              <w:top w:type="dxa" w:w="70"/>
              <w:left w:type="dxa" w:w="120"/>
              <w:bottom w:type="dxa" w:w="70"/>
              <w:right w:type="dxa" w:w="120"/>
            </w:tcMar>
            <w:vAlign w:val="center"/>
          </w:tcPr>
          <w:p>
            <w:r>
              <w:rPr>
                <w:b w:val="false"/>
                <w:bCs w:val="false"/>
                <w:color w:val="1A1A1A"/>
                <w:sz w:val="20"/>
                <w:szCs w:val="20"/>
              </w:rPr>
              <w:t xml:space="preserve">Quarterly</w:t>
            </w:r>
          </w:p>
        </w:tc>
      </w:tr>
    </w:tbl>
    <w:p>
      <w:pPr>
        <w:spacing w:after="80"/>
      </w:pPr>
      <w:r>
        <w:t xml:space="preserve"/>
      </w:r>
    </w:p>
    <w:p>
      <w:pPr>
        <w:spacing w:after="140" w:line="276"/>
      </w:pPr>
      <w:r>
        <w:rPr>
          <w:i/>
          <w:iCs/>
          <w:color w:val="595959"/>
          <w:sz w:val="20"/>
          <w:szCs w:val="20"/>
        </w:rPr>
        <w:t xml:space="preserve">Approximate sequence, not fixed dates — Phase 1 can move fast because the brand and core copy already exist. We'll firm up timing once the platform (Section 9) is chosen.</w:t>
      </w:r>
    </w:p>
    <w:p>
      <w:pPr>
        <w:pStyle w:val="Heading1"/>
      </w:pPr>
      <w:r>
        <w:t xml:space="preserve">13. Next steps &amp; decisions for GKSA</w:t>
      </w:r>
    </w:p>
    <w:p>
      <w:pPr>
        <w:spacing w:after="140" w:line="276"/>
      </w:pPr>
      <w:r>
        <w:t xml:space="preserve">To move from plan to build, a few decisions are needed from the academy:</w:t>
      </w:r>
    </w:p>
    <w:p>
      <w:pPr>
        <w:pStyle w:val="ListParagraph"/>
        <w:numPr>
          <w:ilvl w:val="0"/>
          <w:numId w:val="3"/>
        </w:numPr>
        <w:spacing w:after="60" w:line="270"/>
      </w:pPr>
      <w:r>
        <w:rPr>
          <w:b/>
          <w:bCs/>
        </w:rPr>
        <w:t xml:space="preserve">Platform: </w:t>
      </w:r>
      <w:r>
        <w:t xml:space="preserve">self-managed builder (Option A) or custom build (Option B)?</w:t>
      </w:r>
    </w:p>
    <w:p>
      <w:pPr>
        <w:pStyle w:val="ListParagraph"/>
        <w:numPr>
          <w:ilvl w:val="0"/>
          <w:numId w:val="3"/>
        </w:numPr>
        <w:spacing w:after="60" w:line="270"/>
      </w:pPr>
      <w:r>
        <w:rPr>
          <w:b/>
          <w:bCs/>
        </w:rPr>
        <w:t xml:space="preserve">Domain name: </w:t>
      </w:r>
      <w:r>
        <w:t xml:space="preserve">confirm the preferred web address to register.</w:t>
      </w:r>
    </w:p>
    <w:p>
      <w:pPr>
        <w:pStyle w:val="ListParagraph"/>
        <w:numPr>
          <w:ilvl w:val="0"/>
          <w:numId w:val="3"/>
        </w:numPr>
        <w:spacing w:after="60" w:line="270"/>
      </w:pPr>
      <w:r>
        <w:rPr>
          <w:b/>
          <w:bCs/>
        </w:rPr>
        <w:t xml:space="preserve">Owner: </w:t>
      </w:r>
      <w:r>
        <w:t xml:space="preserve">who at GKSA will keep the site updated after launch?</w:t>
      </w:r>
    </w:p>
    <w:p>
      <w:pPr>
        <w:pStyle w:val="ListParagraph"/>
        <w:numPr>
          <w:ilvl w:val="0"/>
          <w:numId w:val="3"/>
        </w:numPr>
        <w:spacing w:after="60" w:line="270"/>
      </w:pPr>
      <w:r>
        <w:rPr>
          <w:b/>
          <w:bCs/>
        </w:rPr>
        <w:t xml:space="preserve">Content: </w:t>
      </w:r>
      <w:r>
        <w:t xml:space="preserve">begin gathering the “To gather” items in Section 11, starting with sponsor logos and recent photos.</w:t>
      </w:r>
    </w:p>
    <w:p>
      <w:pPr>
        <w:pStyle w:val="ListParagraph"/>
        <w:numPr>
          <w:ilvl w:val="0"/>
          <w:numId w:val="3"/>
        </w:numPr>
        <w:spacing w:after="60" w:line="270"/>
      </w:pPr>
      <w:r>
        <w:rPr>
          <w:b/>
          <w:bCs/>
        </w:rPr>
        <w:t xml:space="preserve">Sign-off: </w:t>
      </w:r>
      <w:r>
        <w:t xml:space="preserve">approve this blueprint so design can begin.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EDDDD" w:sz="1"/>
              <w:left w:val="single" w:color="EE3030" w:sz="18"/>
              <w:bottom w:val="single" w:color="EEDDDD" w:sz="1"/>
              <w:right w:val="single" w:color="EEDDDD" w:sz="1"/>
            </w:tcBorders>
            <w:shd w:fill="FBE0E0" w:val="clear"/>
            <w:tcMar>
              <w:top w:type="dxa" w:w="120"/>
              <w:left w:type="dxa" w:w="200"/>
              <w:bottom w:type="dxa" w:w="120"/>
              <w:right w:type="dxa" w:w="160"/>
            </w:tcMar>
          </w:tcPr>
          <w:p>
            <w:pPr>
              <w:spacing w:after="60"/>
            </w:pPr>
            <w:r>
              <w:rPr>
                <w:b/>
                <w:bCs/>
                <w:color w:val="EE3030"/>
                <w:sz w:val="22"/>
                <w:szCs w:val="22"/>
              </w:rPr>
              <w:t xml:space="preserve">In one line</w:t>
            </w:r>
          </w:p>
          <w:p>
            <w:pPr>
              <w:spacing w:after="40" w:line="264"/>
            </w:pPr>
            <w:r>
              <w:rPr>
                <w:color w:val="1A1A1A"/>
                <w:sz w:val="20"/>
                <w:szCs w:val="20"/>
              </w:rPr>
              <w:t xml:space="preserve">Build a fast, mobile-first, on-brand site that proves GKSA's impact, makes sponsorship one click away, shows partners off proudly, and helps parents join — launched in focused phases.</w:t>
            </w:r>
          </w:p>
        </w:tc>
      </w:tr>
    </w:tbl>
    <w:p>
      <w:pPr>
        <w:spacing w:after="200"/>
      </w:pPr>
      <w:r>
        <w:t xml:space="preserve"/>
      </w:r>
    </w:p>
    <w:p>
      <w:pPr>
        <w:spacing w:after="140" w:line="276"/>
      </w:pPr>
      <w:r>
        <w:rPr>
          <w:i/>
          <w:iCs/>
          <w:color w:val="595959"/>
          <w:sz w:val="18"/>
          <w:szCs w:val="18"/>
        </w:rPr>
        <w:t xml:space="preserve">Prepared as the first planning document for the Golden Knights Soccer Academy website.</w:t>
      </w:r>
    </w:p>
    <w:p>
      <w:pPr>
        <w:spacing w:after="140" w:line="276"/>
      </w:pPr>
      <w:r>
        <w:rPr>
          <w:b/>
          <w:bCs/>
          <w:color w:val="595959"/>
          <w:sz w:val="18"/>
          <w:szCs w:val="18"/>
        </w:rPr>
        <w:t xml:space="preserve">Sources referenced: </w:t>
      </w:r>
      <w:r>
        <w:rPr>
          <w:color w:val="595959"/>
          <w:sz w:val="18"/>
          <w:szCs w:val="18"/>
        </w:rPr>
        <w:t xml:space="preserve">GKSA Sponsorship Proposal (academy); Citizen / Midrand Reporter feature (2017); Soccer Laduma podcast spotlight; Instagram @goldenknightsfc; GKSA website asset pack.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GKSA  •  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360"/>
      </w:tabs>
    </w:pPr>
    <w:r>
      <w:rPr>
        <w:b/>
        <w:bCs/>
        <w:color w:val="595959"/>
        <w:sz w:val="16"/>
        <w:szCs w:val="16"/>
      </w:rPr>
      <w:t xml:space="preserve">Golden Knights Soccer Academy</w:t>
    </w:r>
    <w:r>
      <w:rPr>
        <w:color w:val="595959"/>
        <w:sz w:val="16"/>
        <w:szCs w:val="16"/>
      </w:rPr>
      <w:t xml:space="preserve">	Website Plan &amp;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color w:val="EE3030"/>
      </w:rPr>
    </w:lvl>
    <w:lvl w:ilvl="1"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E3030" w:sz="6" w:space="6"/>
      </w:pBdr>
      <w:spacing w:after="160" w:before="260"/>
      <w:outlineLvl w:val="0"/>
    </w:pPr>
    <w:rPr>
      <w:rFonts w:ascii="Arial" w:cs="Arial" w:eastAsia="Arial" w:hAnsi="Arial"/>
      <w:b/>
      <w:bCs/>
      <w:color w:val="EE3030"/>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3f41fcd61188a11c27020a4d1fa0ba71d7aa7a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GKSA Website Plan &amp; Blueprint</dc:title>
  <dc:creator>GKSA Website Planning</dc:creator>
  <cp:lastModifiedBy>Un-named</cp:lastModifiedBy>
  <cp:revision>1</cp:revision>
  <dcterms:created xsi:type="dcterms:W3CDTF">2026-06-28T07:28:08.070Z</dcterms:created>
  <dcterms:modified xsi:type="dcterms:W3CDTF">2026-06-28T07:28:08.070Z</dcterms:modified>
</cp:coreProperties>
</file>

<file path=docProps/custom.xml><?xml version="1.0" encoding="utf-8"?>
<Properties xmlns="http://schemas.openxmlformats.org/officeDocument/2006/custom-properties" xmlns:vt="http://schemas.openxmlformats.org/officeDocument/2006/docPropsVTypes"/>
</file>