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2971800" cy="972084"/>
            <wp:docPr id="1" name="Picture 1" descr="Phatsema Projects and Supplies logo" title="Phatsema Projects and Supplies logo"/>
            <wp:cNvGraphicFramePr>
              <a:graphicFrameLocks noChangeAspect="1"/>
            </wp:cNvGraphicFramePr>
            <a:graphic>
              <a:graphicData uri="http://schemas.openxmlformats.org/drawingml/2006/picture">
                <pic:pic>
                  <pic:nvPicPr>
                    <pic:cNvPr id="0" name="logo-full-color-transparent.png"/>
                    <pic:cNvPicPr/>
                  </pic:nvPicPr>
                  <pic:blipFill>
                    <a:blip r:embed="rId9"/>
                    <a:stretch>
                      <a:fillRect/>
                    </a:stretch>
                  </pic:blipFill>
                  <pic:spPr>
                    <a:xfrm>
                      <a:off x="0" y="0"/>
                      <a:ext cx="2971800" cy="972084"/>
                    </a:xfrm>
                    <a:prstGeom prst="rect"/>
                  </pic:spPr>
                </pic:pic>
              </a:graphicData>
            </a:graphic>
          </wp:inline>
        </w:drawing>
      </w:r>
    </w:p>
    <w:p>
      <w:pPr>
        <w:spacing w:after="80"/>
        <w:jc w:val="center"/>
      </w:pPr>
      <w:r>
        <w:rPr>
          <w:rFonts w:ascii="Aptos" w:hAnsi="Aptos"/>
          <w:b/>
          <w:color w:val="1779A9"/>
          <w:sz w:val="16"/>
        </w:rPr>
        <w:t>USER MANUAL</w:t>
      </w:r>
    </w:p>
    <w:p>
      <w:pPr>
        <w:pStyle w:val="Title"/>
        <w:jc w:val="center"/>
      </w:pPr>
      <w:r>
        <w:t>Phatsema Back-Office Portal</w:t>
      </w:r>
    </w:p>
    <w:p>
      <w:pPr>
        <w:jc w:val="center"/>
      </w:pPr>
      <w:r>
        <w:rPr>
          <w:rFonts w:ascii="Aptos" w:hAnsi="Aptos"/>
          <w:b w:val="0"/>
          <w:color w:val="5F6B7A"/>
          <w:sz w:val="26"/>
        </w:rPr>
        <w:t>Practical guidance for inventory, transfers, counts, assets, reports, and administration</w:t>
      </w:r>
    </w:p>
    <w:p>
      <w:pPr>
        <w:spacing w:before="320"/>
        <w:jc w:val="center"/>
      </w:pPr>
      <w:r>
        <w:drawing>
          <wp:inline xmlns:a="http://schemas.openxmlformats.org/drawingml/2006/main" xmlns:pic="http://schemas.openxmlformats.org/drawingml/2006/picture">
            <wp:extent cx="6126480" cy="4084320"/>
            <wp:docPr id="2" name="Picture 2" descr="Phatsema portal sign-in page with warehouse background and demo-persona control" title="Phatsema portal sign-in page with warehouse background and demo-persona control"/>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126480" cy="4084320"/>
                    </a:xfrm>
                    <a:prstGeom prst="rect"/>
                  </pic:spPr>
                </pic:pic>
              </a:graphicData>
            </a:graphic>
          </wp:inline>
        </w:drawing>
      </w:r>
    </w:p>
    <w:p>
      <w:pPr>
        <w:spacing w:before="280"/>
        <w:jc w:val="center"/>
      </w:pPr>
      <w:r>
        <w:rPr>
          <w:rFonts w:ascii="Aptos" w:hAnsi="Aptos"/>
          <w:b/>
          <w:color w:val="0B1B2B"/>
          <w:sz w:val="21"/>
        </w:rPr>
        <w:t>Prepared by Valo Systems</w:t>
      </w:r>
      <w:r>
        <w:br/>
      </w:r>
      <w:r>
        <w:rPr>
          <w:rFonts w:ascii="Aptos" w:hAnsi="Aptos"/>
          <w:b w:val="0"/>
          <w:color w:val="5F6B7A"/>
          <w:sz w:val="17"/>
        </w:rPr>
        <w:t>Version 1.0 demonstration guide  |  July 2026</w:t>
      </w:r>
    </w:p>
    <w:p>
      <w:r>
        <w:br w:type="page"/>
      </w:r>
    </w:p>
    <w:p>
      <w:pPr>
        <w:spacing w:after="80"/>
      </w:pPr>
      <w:r>
        <w:rPr>
          <w:rFonts w:ascii="Aptos" w:hAnsi="Aptos"/>
          <w:b/>
          <w:color w:val="087F68"/>
          <w:sz w:val="16"/>
        </w:rPr>
        <w:t>START HERE</w:t>
      </w:r>
    </w:p>
    <w:p>
      <w:pPr>
        <w:pStyle w:val="Heading1"/>
      </w:pPr>
      <w:r>
        <w:t>About this guide</w:t>
      </w:r>
    </w:p>
    <w:p>
      <w:r>
        <w:t>This manual explains the demonstration portal from the user’s point of view. It focuses on completing work safely, understanding workflow states, and knowing what evidence the system records.</w:t>
      </w:r>
    </w:p>
    <w:tbl>
      <w:tblPr>
        <w:tblW w:type="auto" w:w="0"/>
        <w:jc w:val="center"/>
        <w:tblLayout w:type="fixed"/>
        <w:tblLook w:firstColumn="1" w:firstRow="1" w:lastColumn="0" w:lastRow="0" w:noHBand="0" w:noVBand="1" w:val="04A0"/>
      </w:tblPr>
      <w:tblGrid>
        <w:gridCol w:w="173"/>
        <w:gridCol w:w="9720"/>
      </w:tblGrid>
      <w:tr>
        <w:trPr/>
        <w:tc>
          <w:tcPr>
            <w:tcW w:type="dxa" w:w="5184"/>
            <w:shd w:fill="A65B00"/>
            <w:tcMar>
              <w:top w:w="50" w:type="dxa"/>
              <w:start w:w="0" w:type="dxa"/>
              <w:bottom w:w="50" w:type="dxa"/>
              <w:end w:w="0" w:type="dxa"/>
            </w:tcMar>
          </w:tcPr>
          <w:p/>
        </w:tc>
        <w:tc>
          <w:tcPr>
            <w:tcW w:type="dxa" w:w="5184"/>
            <w:shd w:fill="FFF2DF"/>
            <w:tcMar>
              <w:top w:w="120" w:type="dxa"/>
              <w:start w:w="150" w:type="dxa"/>
              <w:bottom w:w="120" w:type="dxa"/>
              <w:end w:w="150" w:type="dxa"/>
            </w:tcMar>
          </w:tcPr>
          <w:p>
            <w:r>
              <w:rPr>
                <w:rFonts w:ascii="Aptos" w:hAnsi="Aptos"/>
                <w:b/>
                <w:color w:val="A65B00"/>
                <w:sz w:val="19"/>
              </w:rPr>
              <w:t xml:space="preserve">Demonstration notice.  </w:t>
            </w:r>
            <w:r>
              <w:rPr>
                <w:rFonts w:ascii="Aptos" w:hAnsi="Aptos"/>
                <w:b w:val="0"/>
                <w:color w:val="172033"/>
                <w:sz w:val="19"/>
              </w:rPr>
              <w:t>All names, sites, quantities, values, and transactions are fictional. Data is stored in the browser session and can be reset. It is not Phatsema operational data.</w:t>
            </w:r>
          </w:p>
        </w:tc>
      </w:tr>
    </w:tbl>
    <w:p>
      <w:pPr>
        <w:pStyle w:val="Heading2"/>
      </w:pPr>
      <w:r>
        <w:t>Who should use it</w:t>
      </w:r>
    </w:p>
    <w:p>
      <w:pPr>
        <w:pStyle w:val="ListBullet"/>
      </w:pPr>
      <w:r>
        <w:t>System administrators who configure users and access.</w:t>
      </w:r>
    </w:p>
    <w:p>
      <w:pPr>
        <w:pStyle w:val="ListBullet"/>
      </w:pPr>
      <w:r>
        <w:t>Operations and site managers who review work, approve workflows, and monitor exceptions.</w:t>
      </w:r>
    </w:p>
    <w:p>
      <w:pPr>
        <w:pStyle w:val="ListBullet"/>
      </w:pPr>
      <w:r>
        <w:t>Storekeepers who receive, issue, transfer, and count stock.</w:t>
      </w:r>
    </w:p>
    <w:p>
      <w:pPr>
        <w:pStyle w:val="ListBullet"/>
      </w:pPr>
      <w:r>
        <w:t>Executives and reviewers who use dashboards, reports, and audit evidence.</w:t>
      </w:r>
    </w:p>
    <w:p>
      <w:pPr>
        <w:pStyle w:val="Heading2"/>
      </w:pPr>
      <w:r>
        <w:t>Core operating principle</w:t>
      </w:r>
    </w:p>
    <w:p>
      <w:r>
        <w:t>Posted inventory is explained by ledger movements. Balances are outcomes, not manually edited totals. Transfers, counts, and assets have their own controlled workflows.</w:t>
      </w:r>
    </w:p>
    <w:p>
      <w:pPr>
        <w:pStyle w:val="Heading2"/>
      </w:pPr>
      <w:r>
        <w:t>Quick map</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0B1B2B"/>
          </w:tcPr>
          <w:p>
            <w:r>
              <w:rPr>
                <w:rFonts w:ascii="Aptos" w:hAnsi="Aptos"/>
                <w:b/>
                <w:color w:val="FFFFFF"/>
                <w:sz w:val="18"/>
              </w:rPr>
              <w:t>Area</w:t>
            </w:r>
          </w:p>
        </w:tc>
        <w:tc>
          <w:tcPr>
            <w:tcW w:type="dxa" w:w="5184"/>
            <w:shd w:fill="0B1B2B"/>
          </w:tcPr>
          <w:p>
            <w:r>
              <w:rPr>
                <w:rFonts w:ascii="Aptos" w:hAnsi="Aptos"/>
                <w:b/>
                <w:color w:val="FFFFFF"/>
                <w:sz w:val="18"/>
              </w:rPr>
              <w:t>Purpose</w:t>
            </w:r>
          </w:p>
        </w:tc>
      </w:tr>
      <w:tr>
        <w:tc>
          <w:tcPr>
            <w:tcW w:type="dxa" w:w="5184"/>
          </w:tcPr>
          <w:p>
            <w:r>
              <w:rPr>
                <w:rFonts w:ascii="Aptos" w:hAnsi="Aptos"/>
                <w:b/>
                <w:color w:val="0B1B2B"/>
                <w:sz w:val="18"/>
              </w:rPr>
              <w:t>Dashboard</w:t>
            </w:r>
          </w:p>
        </w:tc>
        <w:tc>
          <w:tcPr>
            <w:tcW w:type="dxa" w:w="5184"/>
          </w:tcPr>
          <w:p>
            <w:r>
              <w:rPr>
                <w:rFonts w:ascii="Aptos" w:hAnsi="Aptos"/>
                <w:b w:val="0"/>
                <w:color w:val="172033"/>
                <w:sz w:val="18"/>
              </w:rPr>
              <w:t>Network health, stock value, site comparison, pending work, recent activity</w:t>
            </w:r>
          </w:p>
        </w:tc>
      </w:tr>
      <w:tr>
        <w:tc>
          <w:tcPr>
            <w:tcW w:type="dxa" w:w="5184"/>
          </w:tcPr>
          <w:p>
            <w:r>
              <w:rPr>
                <w:rFonts w:ascii="Aptos" w:hAnsi="Aptos"/>
                <w:b/>
                <w:color w:val="0B1B2B"/>
                <w:sz w:val="18"/>
              </w:rPr>
              <w:t>Inventory</w:t>
            </w:r>
          </w:p>
        </w:tc>
        <w:tc>
          <w:tcPr>
            <w:tcW w:type="dxa" w:w="5184"/>
          </w:tcPr>
          <w:p>
            <w:r>
              <w:rPr>
                <w:rFonts w:ascii="Aptos" w:hAnsi="Aptos"/>
                <w:b w:val="0"/>
                <w:color w:val="172033"/>
                <w:sz w:val="18"/>
              </w:rPr>
              <w:t>Items, balances, movement history, receive, issue, adjust, counts</w:t>
            </w:r>
          </w:p>
        </w:tc>
      </w:tr>
      <w:tr>
        <w:tc>
          <w:tcPr>
            <w:tcW w:type="dxa" w:w="5184"/>
          </w:tcPr>
          <w:p>
            <w:r>
              <w:rPr>
                <w:rFonts w:ascii="Aptos" w:hAnsi="Aptos"/>
                <w:b/>
                <w:color w:val="0B1B2B"/>
                <w:sz w:val="18"/>
              </w:rPr>
              <w:t>Operations</w:t>
            </w:r>
          </w:p>
        </w:tc>
        <w:tc>
          <w:tcPr>
            <w:tcW w:type="dxa" w:w="5184"/>
          </w:tcPr>
          <w:p>
            <w:r>
              <w:rPr>
                <w:rFonts w:ascii="Aptos" w:hAnsi="Aptos"/>
                <w:b w:val="0"/>
                <w:color w:val="172033"/>
                <w:sz w:val="18"/>
              </w:rPr>
              <w:t>Transfers, assets, sites</w:t>
            </w:r>
          </w:p>
        </w:tc>
      </w:tr>
      <w:tr>
        <w:tc>
          <w:tcPr>
            <w:tcW w:type="dxa" w:w="5184"/>
          </w:tcPr>
          <w:p>
            <w:r>
              <w:rPr>
                <w:rFonts w:ascii="Aptos" w:hAnsi="Aptos"/>
                <w:b/>
                <w:color w:val="0B1B2B"/>
                <w:sz w:val="18"/>
              </w:rPr>
              <w:t>Insight</w:t>
            </w:r>
          </w:p>
        </w:tc>
        <w:tc>
          <w:tcPr>
            <w:tcW w:type="dxa" w:w="5184"/>
          </w:tcPr>
          <w:p>
            <w:r>
              <w:rPr>
                <w:rFonts w:ascii="Aptos" w:hAnsi="Aptos"/>
                <w:b w:val="0"/>
                <w:color w:val="172033"/>
                <w:sz w:val="18"/>
              </w:rPr>
              <w:t>Reports and audit log</w:t>
            </w:r>
          </w:p>
        </w:tc>
      </w:tr>
      <w:tr>
        <w:tc>
          <w:tcPr>
            <w:tcW w:type="dxa" w:w="5184"/>
          </w:tcPr>
          <w:p>
            <w:r>
              <w:rPr>
                <w:rFonts w:ascii="Aptos" w:hAnsi="Aptos"/>
                <w:b/>
                <w:color w:val="0B1B2B"/>
                <w:sz w:val="18"/>
              </w:rPr>
              <w:t>Administration</w:t>
            </w:r>
          </w:p>
        </w:tc>
        <w:tc>
          <w:tcPr>
            <w:tcW w:type="dxa" w:w="5184"/>
          </w:tcPr>
          <w:p>
            <w:r>
              <w:rPr>
                <w:rFonts w:ascii="Aptos" w:hAnsi="Aptos"/>
                <w:b w:val="0"/>
                <w:color w:val="172033"/>
                <w:sz w:val="18"/>
              </w:rPr>
              <w:t>Users, roles, site access, work profiles</w:t>
            </w:r>
          </w:p>
        </w:tc>
      </w:tr>
      <w:tr>
        <w:tc>
          <w:tcPr>
            <w:tcW w:type="dxa" w:w="5184"/>
          </w:tcPr>
          <w:p>
            <w:r>
              <w:rPr>
                <w:rFonts w:ascii="Aptos" w:hAnsi="Aptos"/>
                <w:b/>
                <w:color w:val="0B1B2B"/>
                <w:sz w:val="18"/>
              </w:rPr>
              <w:t>My profile</w:t>
            </w:r>
          </w:p>
        </w:tc>
        <w:tc>
          <w:tcPr>
            <w:tcW w:type="dxa" w:w="5184"/>
          </w:tcPr>
          <w:p>
            <w:r>
              <w:rPr>
                <w:rFonts w:ascii="Aptos" w:hAnsi="Aptos"/>
                <w:b w:val="0"/>
                <w:color w:val="172033"/>
                <w:sz w:val="18"/>
              </w:rPr>
              <w:t>Personal details, access visibility, password change, last sign-in</w:t>
            </w:r>
          </w:p>
        </w:tc>
      </w:tr>
    </w:tbl>
    <w:p>
      <w:r>
        <w:br w:type="page"/>
      </w:r>
    </w:p>
    <w:p>
      <w:pPr>
        <w:spacing w:after="80"/>
      </w:pPr>
      <w:r>
        <w:rPr>
          <w:rFonts w:ascii="Aptos" w:hAnsi="Aptos"/>
          <w:b/>
          <w:color w:val="087F68"/>
          <w:sz w:val="16"/>
        </w:rPr>
        <w:t>ACCESS</w:t>
      </w:r>
    </w:p>
    <w:p>
      <w:pPr>
        <w:pStyle w:val="Heading1"/>
      </w:pPr>
      <w:r>
        <w:t>Sign in and choose a demo persona</w:t>
      </w:r>
    </w:p>
    <w:p>
      <w:pPr>
        <w:pStyle w:val="ListNumber"/>
        <w:numPr>
          <w:ilvl w:val="0"/>
          <w:numId w:val="10"/>
        </w:numPr>
      </w:pPr>
      <w:r>
        <w:rPr>
          <w:rFonts w:ascii="Aptos" w:hAnsi="Aptos"/>
          <w:b/>
          <w:color w:val="0B1B2B"/>
          <w:sz w:val="19"/>
        </w:rPr>
        <w:t xml:space="preserve">Open the portal. </w:t>
      </w:r>
      <w:r>
        <w:rPr>
          <w:rFonts w:ascii="Aptos" w:hAnsi="Aptos"/>
          <w:b w:val="0"/>
          <w:color w:val="172033"/>
          <w:sz w:val="19"/>
        </w:rPr>
        <w:t>Go to phatsema.valosystems.co.za.</w:t>
      </w:r>
    </w:p>
    <w:p>
      <w:pPr>
        <w:pStyle w:val="ListNumber"/>
        <w:numPr>
          <w:ilvl w:val="0"/>
          <w:numId w:val="10"/>
        </w:numPr>
      </w:pPr>
      <w:r>
        <w:rPr>
          <w:rFonts w:ascii="Aptos" w:hAnsi="Aptos"/>
          <w:b/>
          <w:color w:val="0B1B2B"/>
          <w:sz w:val="19"/>
        </w:rPr>
        <w:t xml:space="preserve">Enter credentials. </w:t>
      </w:r>
      <w:r>
        <w:rPr>
          <w:rFonts w:ascii="Aptos" w:hAnsi="Aptos"/>
          <w:b w:val="0"/>
          <w:color w:val="172033"/>
          <w:sz w:val="19"/>
        </w:rPr>
        <w:t>Use your assigned email and password.</w:t>
      </w:r>
    </w:p>
    <w:p>
      <w:pPr>
        <w:pStyle w:val="ListNumber"/>
        <w:numPr>
          <w:ilvl w:val="0"/>
          <w:numId w:val="10"/>
        </w:numPr>
      </w:pPr>
      <w:r>
        <w:rPr>
          <w:rFonts w:ascii="Aptos" w:hAnsi="Aptos"/>
          <w:b/>
          <w:color w:val="0B1B2B"/>
          <w:sz w:val="19"/>
        </w:rPr>
        <w:t xml:space="preserve">Use a demo persona when exploring. </w:t>
      </w:r>
      <w:r>
        <w:rPr>
          <w:rFonts w:ascii="Aptos" w:hAnsi="Aptos"/>
          <w:b w:val="0"/>
          <w:color w:val="172033"/>
          <w:sz w:val="19"/>
        </w:rPr>
        <w:t>Expand Demo personas, select a role, then sign in.</w:t>
      </w:r>
    </w:p>
    <w:p>
      <w:pPr>
        <w:pStyle w:val="ListNumber"/>
        <w:numPr>
          <w:ilvl w:val="0"/>
          <w:numId w:val="10"/>
        </w:numPr>
      </w:pPr>
      <w:r>
        <w:rPr>
          <w:rFonts w:ascii="Aptos" w:hAnsi="Aptos"/>
          <w:b/>
          <w:color w:val="0B1B2B"/>
          <w:sz w:val="19"/>
        </w:rPr>
        <w:t xml:space="preserve">Confirm your scope. </w:t>
      </w:r>
      <w:r>
        <w:rPr>
          <w:rFonts w:ascii="Aptos" w:hAnsi="Aptos"/>
          <w:b w:val="0"/>
          <w:color w:val="172033"/>
          <w:sz w:val="19"/>
        </w:rPr>
        <w:t>Check the site selector and user menu before posting work.</w:t>
      </w:r>
    </w:p>
    <w:p>
      <w:pPr>
        <w:pStyle w:val="Heading2"/>
      </w:pPr>
      <w:r>
        <w:t>Demo personas</w:t>
      </w:r>
    </w:p>
    <w:tbl>
      <w:tblPr>
        <w:tblW w:type="auto" w:w="0"/>
        <w:jc w:val="center"/>
        <w:tblLayout w:type="fixed"/>
        <w:tblLook w:firstColumn="1" w:firstRow="1" w:lastColumn="0" w:lastRow="0" w:noHBand="0" w:noVBand="1" w:val="04A0"/>
      </w:tblPr>
      <w:tblGrid>
        <w:gridCol w:w="4824"/>
        <w:gridCol w:w="4824"/>
      </w:tblGrid>
      <w:tr>
        <w:tc>
          <w:tcPr>
            <w:tcW w:type="dxa" w:w="5184"/>
            <w:shd w:fill="F3F6F8"/>
            <w:tcMar>
              <w:top w:w="130" w:type="dxa"/>
              <w:start w:w="150" w:type="dxa"/>
              <w:bottom w:w="130" w:type="dxa"/>
              <w:end w:w="150" w:type="dxa"/>
            </w:tcMar>
            <w:vAlign w:val="center"/>
          </w:tcPr>
          <w:p>
            <w:r>
              <w:rPr>
                <w:rFonts w:ascii="Aptos" w:hAnsi="Aptos"/>
                <w:b/>
                <w:color w:val="0B1B2B"/>
                <w:sz w:val="21"/>
              </w:rPr>
              <w:t>System Administrator</w:t>
            </w:r>
          </w:p>
          <w:p>
            <w:r>
              <w:rPr>
                <w:rFonts w:ascii="Aptos" w:hAnsi="Aptos"/>
                <w:b w:val="0"/>
                <w:color w:val="5F6B7A"/>
                <w:sz w:val="18"/>
              </w:rPr>
              <w:t>Full configuration, users, reset, audit</w:t>
            </w:r>
          </w:p>
        </w:tc>
        <w:tc>
          <w:tcPr>
            <w:tcW w:type="dxa" w:w="5184"/>
            <w:shd w:fill="F3F6F8"/>
            <w:tcMar>
              <w:top w:w="130" w:type="dxa"/>
              <w:start w:w="150" w:type="dxa"/>
              <w:bottom w:w="130" w:type="dxa"/>
              <w:end w:w="150" w:type="dxa"/>
            </w:tcMar>
            <w:vAlign w:val="center"/>
          </w:tcPr>
          <w:p>
            <w:r>
              <w:rPr>
                <w:rFonts w:ascii="Aptos" w:hAnsi="Aptos"/>
                <w:b/>
                <w:color w:val="0B1B2B"/>
                <w:sz w:val="21"/>
              </w:rPr>
              <w:t>Operations Manager</w:t>
            </w:r>
          </w:p>
          <w:p>
            <w:r>
              <w:rPr>
                <w:rFonts w:ascii="Aptos" w:hAnsi="Aptos"/>
                <w:b w:val="0"/>
                <w:color w:val="5F6B7A"/>
                <w:sz w:val="18"/>
              </w:rPr>
              <w:t>All sites, approvals, dashboards, reports</w:t>
            </w:r>
          </w:p>
        </w:tc>
      </w:tr>
      <w:tr>
        <w:tc>
          <w:tcPr>
            <w:tcW w:type="dxa" w:w="5184"/>
            <w:shd w:fill="F3F6F8"/>
            <w:tcMar>
              <w:top w:w="130" w:type="dxa"/>
              <w:start w:w="150" w:type="dxa"/>
              <w:bottom w:w="130" w:type="dxa"/>
              <w:end w:w="150" w:type="dxa"/>
            </w:tcMar>
            <w:vAlign w:val="center"/>
          </w:tcPr>
          <w:p>
            <w:r>
              <w:rPr>
                <w:rFonts w:ascii="Aptos" w:hAnsi="Aptos"/>
                <w:b/>
                <w:color w:val="0B1B2B"/>
                <w:sz w:val="21"/>
              </w:rPr>
              <w:t>Site Manager</w:t>
            </w:r>
          </w:p>
          <w:p>
            <w:r>
              <w:rPr>
                <w:rFonts w:ascii="Aptos" w:hAnsi="Aptos"/>
                <w:b w:val="0"/>
                <w:color w:val="5F6B7A"/>
                <w:sz w:val="18"/>
              </w:rPr>
              <w:t>Assigned site, approvals, counts, transfers</w:t>
            </w:r>
          </w:p>
        </w:tc>
        <w:tc>
          <w:tcPr>
            <w:tcW w:type="dxa" w:w="5184"/>
            <w:shd w:fill="F3F6F8"/>
            <w:tcMar>
              <w:top w:w="130" w:type="dxa"/>
              <w:start w:w="150" w:type="dxa"/>
              <w:bottom w:w="130" w:type="dxa"/>
              <w:end w:w="150" w:type="dxa"/>
            </w:tcMar>
            <w:vAlign w:val="center"/>
          </w:tcPr>
          <w:p>
            <w:r>
              <w:rPr>
                <w:rFonts w:ascii="Aptos" w:hAnsi="Aptos"/>
                <w:b/>
                <w:color w:val="0B1B2B"/>
                <w:sz w:val="21"/>
              </w:rPr>
              <w:t>Storekeeper</w:t>
            </w:r>
          </w:p>
          <w:p>
            <w:r>
              <w:rPr>
                <w:rFonts w:ascii="Aptos" w:hAnsi="Aptos"/>
                <w:b w:val="0"/>
                <w:color w:val="5F6B7A"/>
                <w:sz w:val="18"/>
              </w:rPr>
              <w:t>Receiving, issues, transfers, counting</w:t>
            </w:r>
          </w:p>
        </w:tc>
      </w:tr>
      <w:tr>
        <w:tc>
          <w:tcPr>
            <w:tcW w:type="dxa" w:w="5184"/>
            <w:shd w:fill="F3F6F8"/>
            <w:tcMar>
              <w:top w:w="130" w:type="dxa"/>
              <w:start w:w="150" w:type="dxa"/>
              <w:bottom w:w="130" w:type="dxa"/>
              <w:end w:w="150" w:type="dxa"/>
            </w:tcMar>
            <w:vAlign w:val="center"/>
          </w:tcPr>
          <w:p>
            <w:r>
              <w:rPr>
                <w:rFonts w:ascii="Aptos" w:hAnsi="Aptos"/>
                <w:b/>
                <w:color w:val="0B1B2B"/>
                <w:sz w:val="21"/>
              </w:rPr>
              <w:t>Executive Viewer</w:t>
            </w:r>
          </w:p>
          <w:p>
            <w:r>
              <w:rPr>
                <w:rFonts w:ascii="Aptos" w:hAnsi="Aptos"/>
                <w:b w:val="0"/>
                <w:color w:val="5F6B7A"/>
                <w:sz w:val="18"/>
              </w:rPr>
              <w:t>Read-only dashboards, reports, activity</w:t>
            </w:r>
          </w:p>
        </w:tc>
        <w:tc>
          <w:tcPr>
            <w:tcW w:type="dxa" w:w="5184"/>
          </w:tcPr>
          <w:p/>
        </w:tc>
      </w:tr>
    </w:tbl>
    <w:tbl>
      <w:tblPr>
        <w:tblW w:type="auto" w:w="0"/>
        <w:jc w:val="center"/>
        <w:tblLayout w:type="fixed"/>
        <w:tblLook w:firstColumn="1" w:firstRow="1" w:lastColumn="0" w:lastRow="0" w:noHBand="0" w:noVBand="1" w:val="04A0"/>
      </w:tblPr>
      <w:tblGrid>
        <w:gridCol w:w="173"/>
        <w:gridCol w:w="9720"/>
      </w:tblGrid>
      <w:tr>
        <w:trPr/>
        <w:tc>
          <w:tcPr>
            <w:tcW w:type="dxa" w:w="5184"/>
            <w:shd w:fill="087F68"/>
            <w:tcMar>
              <w:top w:w="50" w:type="dxa"/>
              <w:start w:w="0" w:type="dxa"/>
              <w:bottom w:w="50" w:type="dxa"/>
              <w:end w:w="0" w:type="dxa"/>
            </w:tcMar>
          </w:tcPr>
          <w:p/>
        </w:tc>
        <w:tc>
          <w:tcPr>
            <w:tcW w:type="dxa" w:w="5184"/>
            <w:shd w:fill="DFF4EE"/>
            <w:tcMar>
              <w:top w:w="120" w:type="dxa"/>
              <w:start w:w="150" w:type="dxa"/>
              <w:bottom w:w="120" w:type="dxa"/>
              <w:end w:w="150" w:type="dxa"/>
            </w:tcMar>
          </w:tcPr>
          <w:p>
            <w:r>
              <w:rPr>
                <w:rFonts w:ascii="Aptos" w:hAnsi="Aptos"/>
                <w:b/>
                <w:color w:val="087F68"/>
                <w:sz w:val="19"/>
              </w:rPr>
              <w:t xml:space="preserve">Shared demo password.  </w:t>
            </w:r>
            <w:r>
              <w:rPr>
                <w:rFonts w:ascii="Aptos" w:hAnsi="Aptos"/>
                <w:b w:val="0"/>
                <w:color w:val="172033"/>
                <w:sz w:val="19"/>
              </w:rPr>
              <w:t>PhatsemaDemo1. Selecting a persona fills the form automatically in the demonstration.</w:t>
            </w:r>
          </w:p>
        </w:tc>
      </w:tr>
    </w:tbl>
    <w:p>
      <w:pPr>
        <w:spacing w:before="100" w:after="60"/>
        <w:jc w:val="center"/>
      </w:pPr>
      <w:r>
        <w:drawing>
          <wp:inline xmlns:a="http://schemas.openxmlformats.org/drawingml/2006/main" xmlns:pic="http://schemas.openxmlformats.org/drawingml/2006/picture">
            <wp:extent cx="6263640" cy="4175760"/>
            <wp:docPr id="3" name="Picture 3" descr="The premium login page keeps demo access optional and collapsed." title="The premium login page keeps demo access optional and collapsed."/>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263640" cy="4175760"/>
                    </a:xfrm>
                    <a:prstGeom prst="rect"/>
                  </pic:spPr>
                </pic:pic>
              </a:graphicData>
            </a:graphic>
          </wp:inline>
        </w:drawing>
      </w:r>
    </w:p>
    <w:p>
      <w:pPr>
        <w:spacing w:after="140"/>
        <w:jc w:val="center"/>
      </w:pPr>
      <w:r>
        <w:rPr>
          <w:rFonts w:ascii="Aptos" w:hAnsi="Aptos"/>
          <w:b w:val="0"/>
          <w:color w:val="5F6B7A"/>
          <w:sz w:val="15"/>
        </w:rPr>
        <w:t>The premium login page keeps demo access optional and collapsed.</w:t>
      </w:r>
    </w:p>
    <w:p>
      <w:r>
        <w:br w:type="page"/>
      </w:r>
    </w:p>
    <w:p>
      <w:pPr>
        <w:spacing w:after="80"/>
      </w:pPr>
      <w:r>
        <w:rPr>
          <w:rFonts w:ascii="Aptos" w:hAnsi="Aptos"/>
          <w:b/>
          <w:color w:val="087F68"/>
          <w:sz w:val="16"/>
        </w:rPr>
        <w:t>ORIENTATION</w:t>
      </w:r>
    </w:p>
    <w:p>
      <w:pPr>
        <w:pStyle w:val="Heading1"/>
      </w:pPr>
      <w:r>
        <w:t>Navigate the portal and set site scope</w:t>
      </w:r>
    </w:p>
    <w:p>
      <w:pPr>
        <w:pStyle w:val="Heading2"/>
      </w:pPr>
      <w:r>
        <w:t>Use the left navigation</w:t>
      </w:r>
    </w:p>
    <w:p>
      <w:r>
        <w:t>The sidebar groups work into Overview, Inventory, Operations, Insight, and Administration. Only actions permitted for the signed-in user are available.</w:t>
      </w:r>
    </w:p>
    <w:p>
      <w:pPr>
        <w:pStyle w:val="Heading2"/>
      </w:pPr>
      <w:r>
        <w:t>Use the site selector deliberately</w:t>
      </w:r>
    </w:p>
    <w:p>
      <w:pPr>
        <w:pStyle w:val="ListBullet"/>
      </w:pPr>
      <w:r>
        <w:t>All sites shows the network view when your role permits it.</w:t>
      </w:r>
    </w:p>
    <w:p>
      <w:pPr>
        <w:pStyle w:val="ListBullet"/>
      </w:pPr>
      <w:r>
        <w:t>A selected site limits applicable pages and actions to that location.</w:t>
      </w:r>
    </w:p>
    <w:p>
      <w:pPr>
        <w:pStyle w:val="ListBullet"/>
      </w:pPr>
      <w:r>
        <w:t>Always verify the selected site before receiving, issuing, adjusting, counting, or transferring stock.</w:t>
      </w:r>
    </w:p>
    <w:p>
      <w:pPr>
        <w:pStyle w:val="ListBullet"/>
      </w:pPr>
      <w:r>
        <w:t>The global search helps locate items, references, and pages quickly.</w:t>
      </w:r>
    </w:p>
    <w:tbl>
      <w:tblPr>
        <w:tblW w:type="auto" w:w="0"/>
        <w:jc w:val="center"/>
        <w:tblLayout w:type="fixed"/>
        <w:tblLook w:firstColumn="1" w:firstRow="1" w:lastColumn="0" w:lastRow="0" w:noHBand="0" w:noVBand="1" w:val="04A0"/>
      </w:tblPr>
      <w:tblGrid>
        <w:gridCol w:w="173"/>
        <w:gridCol w:w="9720"/>
      </w:tblGrid>
      <w:tr>
        <w:trPr/>
        <w:tc>
          <w:tcPr>
            <w:tcW w:type="dxa" w:w="5184"/>
            <w:shd w:fill="1779A9"/>
            <w:tcMar>
              <w:top w:w="50" w:type="dxa"/>
              <w:start w:w="0" w:type="dxa"/>
              <w:bottom w:w="50" w:type="dxa"/>
              <w:end w:w="0" w:type="dxa"/>
            </w:tcMar>
          </w:tcPr>
          <w:p/>
        </w:tc>
        <w:tc>
          <w:tcPr>
            <w:tcW w:type="dxa" w:w="5184"/>
            <w:shd w:fill="E9F1F7"/>
            <w:tcMar>
              <w:top w:w="120" w:type="dxa"/>
              <w:start w:w="150" w:type="dxa"/>
              <w:bottom w:w="120" w:type="dxa"/>
              <w:end w:w="150" w:type="dxa"/>
            </w:tcMar>
          </w:tcPr>
          <w:p>
            <w:r>
              <w:rPr>
                <w:rFonts w:ascii="Aptos" w:hAnsi="Aptos"/>
                <w:b/>
                <w:color w:val="1779A9"/>
                <w:sz w:val="19"/>
              </w:rPr>
              <w:t xml:space="preserve">Control point.  </w:t>
            </w:r>
            <w:r>
              <w:rPr>
                <w:rFonts w:ascii="Aptos" w:hAnsi="Aptos"/>
                <w:b w:val="0"/>
                <w:color w:val="172033"/>
                <w:sz w:val="19"/>
              </w:rPr>
              <w:t>Site context is part of the transaction evidence. Do not rely on memory or browser history before posting.</w:t>
            </w:r>
          </w:p>
        </w:tc>
      </w:tr>
    </w:tbl>
    <w:p>
      <w:pPr>
        <w:spacing w:before="100" w:after="60"/>
        <w:jc w:val="center"/>
      </w:pPr>
      <w:r>
        <w:drawing>
          <wp:inline xmlns:a="http://schemas.openxmlformats.org/drawingml/2006/main" xmlns:pic="http://schemas.openxmlformats.org/drawingml/2006/picture">
            <wp:extent cx="6263640" cy="5184902"/>
            <wp:docPr id="4" name="Picture 4" descr="The dashboard shows the active site context in the top bar." title="The dashboard shows the active site context in the top bar."/>
            <wp:cNvGraphicFramePr>
              <a:graphicFrameLocks noChangeAspect="1"/>
            </wp:cNvGraphicFramePr>
            <a:graphic>
              <a:graphicData uri="http://schemas.openxmlformats.org/drawingml/2006/picture">
                <pic:pic>
                  <pic:nvPicPr>
                    <pic:cNvPr id="0" name="02-dashboard.png"/>
                    <pic:cNvPicPr/>
                  </pic:nvPicPr>
                  <pic:blipFill>
                    <a:blip r:embed="rId11"/>
                    <a:stretch>
                      <a:fillRect/>
                    </a:stretch>
                  </pic:blipFill>
                  <pic:spPr>
                    <a:xfrm>
                      <a:off x="0" y="0"/>
                      <a:ext cx="6263640" cy="5184902"/>
                    </a:xfrm>
                    <a:prstGeom prst="rect"/>
                  </pic:spPr>
                </pic:pic>
              </a:graphicData>
            </a:graphic>
          </wp:inline>
        </w:drawing>
      </w:r>
    </w:p>
    <w:p>
      <w:pPr>
        <w:spacing w:after="140"/>
        <w:jc w:val="center"/>
      </w:pPr>
      <w:r>
        <w:rPr>
          <w:rFonts w:ascii="Aptos" w:hAnsi="Aptos"/>
          <w:b w:val="0"/>
          <w:color w:val="5F6B7A"/>
          <w:sz w:val="15"/>
        </w:rPr>
        <w:t>The dashboard shows the active site context in the top bar.</w:t>
      </w:r>
    </w:p>
    <w:p>
      <w:r>
        <w:br w:type="page"/>
      </w:r>
    </w:p>
    <w:p>
      <w:pPr>
        <w:spacing w:after="80"/>
      </w:pPr>
      <w:r>
        <w:rPr>
          <w:rFonts w:ascii="Aptos" w:hAnsi="Aptos"/>
          <w:b/>
          <w:color w:val="087F68"/>
          <w:sz w:val="16"/>
        </w:rPr>
        <w:t>OVERVIEW</w:t>
      </w:r>
    </w:p>
    <w:p>
      <w:pPr>
        <w:pStyle w:val="Heading1"/>
      </w:pPr>
      <w:r>
        <w:t>Read the operations dashboard</w:t>
      </w:r>
    </w:p>
    <w:p>
      <w:r>
        <w:t>Use the dashboard to understand the network before opening detailed records.</w:t>
      </w:r>
    </w:p>
    <w:p>
      <w:pPr>
        <w:pStyle w:val="ListBullet"/>
      </w:pPr>
      <w:r>
        <w:t>Stock value is an illustrative demo valuation and must not be treated as a production finance figure.</w:t>
      </w:r>
    </w:p>
    <w:p>
      <w:pPr>
        <w:pStyle w:val="ListBullet"/>
      </w:pPr>
      <w:r>
        <w:t>Items, assets, and sites show the current scoped master-data totals.</w:t>
      </w:r>
    </w:p>
    <w:p>
      <w:pPr>
        <w:pStyle w:val="ListBullet"/>
      </w:pPr>
      <w:r>
        <w:t>Low stock and in-transit indicators point to operational attention.</w:t>
      </w:r>
    </w:p>
    <w:p>
      <w:pPr>
        <w:pStyle w:val="ListBullet"/>
      </w:pPr>
      <w:r>
        <w:t>Stock by site compares value distribution across permitted locations.</w:t>
      </w:r>
    </w:p>
    <w:p>
      <w:pPr>
        <w:pStyle w:val="ListBullet"/>
      </w:pPr>
      <w:r>
        <w:t>Movement trend compares inbound and outbound activity over the recent period.</w:t>
      </w:r>
    </w:p>
    <w:p>
      <w:pPr>
        <w:pStyle w:val="ListBullet"/>
      </w:pPr>
      <w:r>
        <w:t>Transfers needing action and recent activity provide direct paths to follow-up work.</w:t>
      </w:r>
    </w:p>
    <w:p>
      <w:pPr>
        <w:pStyle w:val="Heading2"/>
      </w:pPr>
      <w:r>
        <w:t>Recommended daily review</w:t>
      </w:r>
    </w:p>
    <w:p>
      <w:pPr>
        <w:pStyle w:val="ListNumber"/>
        <w:numPr>
          <w:ilvl w:val="0"/>
          <w:numId w:val="11"/>
        </w:numPr>
      </w:pPr>
      <w:r>
        <w:rPr>
          <w:rFonts w:ascii="Aptos" w:hAnsi="Aptos"/>
          <w:b/>
          <w:color w:val="0B1B2B"/>
          <w:sz w:val="19"/>
        </w:rPr>
        <w:t xml:space="preserve">Confirm scope. </w:t>
      </w:r>
      <w:r>
        <w:rPr>
          <w:rFonts w:ascii="Aptos" w:hAnsi="Aptos"/>
          <w:b w:val="0"/>
          <w:color w:val="172033"/>
          <w:sz w:val="19"/>
        </w:rPr>
        <w:t>Choose All sites or the required operating site.</w:t>
      </w:r>
    </w:p>
    <w:p>
      <w:pPr>
        <w:pStyle w:val="ListNumber"/>
        <w:numPr>
          <w:ilvl w:val="0"/>
          <w:numId w:val="11"/>
        </w:numPr>
      </w:pPr>
      <w:r>
        <w:rPr>
          <w:rFonts w:ascii="Aptos" w:hAnsi="Aptos"/>
          <w:b/>
          <w:color w:val="0B1B2B"/>
          <w:sz w:val="19"/>
        </w:rPr>
        <w:t xml:space="preserve">Review risks. </w:t>
      </w:r>
      <w:r>
        <w:rPr>
          <w:rFonts w:ascii="Aptos" w:hAnsi="Aptos"/>
          <w:b w:val="0"/>
          <w:color w:val="172033"/>
          <w:sz w:val="19"/>
        </w:rPr>
        <w:t>Check low stock, out-of-stock, in-transit, and transfer exceptions.</w:t>
      </w:r>
    </w:p>
    <w:p>
      <w:pPr>
        <w:pStyle w:val="ListNumber"/>
        <w:numPr>
          <w:ilvl w:val="0"/>
          <w:numId w:val="11"/>
        </w:numPr>
      </w:pPr>
      <w:r>
        <w:rPr>
          <w:rFonts w:ascii="Aptos" w:hAnsi="Aptos"/>
          <w:b/>
          <w:color w:val="0B1B2B"/>
          <w:sz w:val="19"/>
        </w:rPr>
        <w:t xml:space="preserve">Open action lists. </w:t>
      </w:r>
      <w:r>
        <w:rPr>
          <w:rFonts w:ascii="Aptos" w:hAnsi="Aptos"/>
          <w:b w:val="0"/>
          <w:color w:val="172033"/>
          <w:sz w:val="19"/>
        </w:rPr>
        <w:t>Resolve submitted, approved, or discrepant workflows.</w:t>
      </w:r>
    </w:p>
    <w:p>
      <w:pPr>
        <w:pStyle w:val="ListNumber"/>
        <w:numPr>
          <w:ilvl w:val="0"/>
          <w:numId w:val="11"/>
        </w:numPr>
      </w:pPr>
      <w:r>
        <w:rPr>
          <w:rFonts w:ascii="Aptos" w:hAnsi="Aptos"/>
          <w:b/>
          <w:color w:val="0B1B2B"/>
          <w:sz w:val="19"/>
        </w:rPr>
        <w:t xml:space="preserve">Check recent activity. </w:t>
      </w:r>
      <w:r>
        <w:rPr>
          <w:rFonts w:ascii="Aptos" w:hAnsi="Aptos"/>
          <w:b w:val="0"/>
          <w:color w:val="172033"/>
          <w:sz w:val="19"/>
        </w:rPr>
        <w:t>Confirm unusual movements or asset changes.</w:t>
      </w:r>
    </w:p>
    <w:p>
      <w:r>
        <w:br w:type="page"/>
      </w:r>
    </w:p>
    <w:p>
      <w:pPr>
        <w:spacing w:after="80"/>
      </w:pPr>
      <w:r>
        <w:rPr>
          <w:rFonts w:ascii="Aptos" w:hAnsi="Aptos"/>
          <w:b/>
          <w:color w:val="087F68"/>
          <w:sz w:val="16"/>
        </w:rPr>
        <w:t>INVENTORY MASTER DATA</w:t>
      </w:r>
    </w:p>
    <w:p>
      <w:pPr>
        <w:pStyle w:val="Heading1"/>
      </w:pPr>
      <w:r>
        <w:t>Items, balances, and movement history</w:t>
      </w:r>
    </w:p>
    <w:p>
      <w:pPr>
        <w:pStyle w:val="Heading2"/>
      </w:pPr>
      <w:r>
        <w:t>Item catalogue</w:t>
      </w:r>
    </w:p>
    <w:p>
      <w:r>
        <w:t>The catalogue defines the identity and operating rules for materials, consumables, spare parts, and fabricated goods.</w:t>
      </w:r>
    </w:p>
    <w:p>
      <w:pPr>
        <w:pStyle w:val="ListBullet"/>
      </w:pPr>
      <w:r>
        <w:t>Search by SKU or name and filter by category, type, health, or status.</w:t>
      </w:r>
    </w:p>
    <w:p>
      <w:pPr>
        <w:pStyle w:val="ListBullet"/>
      </w:pPr>
      <w:r>
        <w:t>Use stock-health summaries to find healthy, low, or out-of-stock items.</w:t>
      </w:r>
    </w:p>
    <w:p>
      <w:pPr>
        <w:pStyle w:val="ListBullet"/>
      </w:pPr>
      <w:r>
        <w:t>Reference codes are generated by the portal where users should not invent identifiers.</w:t>
      </w:r>
    </w:p>
    <w:p>
      <w:pPr>
        <w:pStyle w:val="ListBullet"/>
      </w:pPr>
      <w:r>
        <w:t>Keep stock for sale, consumables, spares, fabricated-to-order goods, and assets distinct.</w:t>
      </w:r>
    </w:p>
    <w:p>
      <w:pPr>
        <w:pStyle w:val="Heading2"/>
      </w:pPr>
      <w:r>
        <w:t>Balances</w:t>
      </w:r>
    </w:p>
    <w:p>
      <w:r>
        <w:t>Balances show available quantities by item, site, and location. They are derived from posted movements.</w:t>
      </w:r>
    </w:p>
    <w:p>
      <w:pPr>
        <w:pStyle w:val="Heading2"/>
      </w:pPr>
      <w:r>
        <w:t>Movements</w:t>
      </w:r>
    </w:p>
    <w:p>
      <w:r>
        <w:t>Movement history is the primary explanation for why a balance changed. Filter it by date, site, item, type, or reference.</w:t>
      </w:r>
    </w:p>
    <w:p>
      <w:pPr>
        <w:spacing w:before="100" w:after="60"/>
        <w:jc w:val="center"/>
      </w:pPr>
      <w:r>
        <w:drawing>
          <wp:inline xmlns:a="http://schemas.openxmlformats.org/drawingml/2006/main" xmlns:pic="http://schemas.openxmlformats.org/drawingml/2006/picture">
            <wp:extent cx="6263640" cy="6768211"/>
            <wp:docPr id="5" name="Picture 5" descr="Catalogue summary widgets make exceptions visible before users scan rows." title="Catalogue summary widgets make exceptions visible before users scan rows."/>
            <wp:cNvGraphicFramePr>
              <a:graphicFrameLocks noChangeAspect="1"/>
            </wp:cNvGraphicFramePr>
            <a:graphic>
              <a:graphicData uri="http://schemas.openxmlformats.org/drawingml/2006/picture">
                <pic:pic>
                  <pic:nvPicPr>
                    <pic:cNvPr id="0" name="03-items.png"/>
                    <pic:cNvPicPr/>
                  </pic:nvPicPr>
                  <pic:blipFill>
                    <a:blip r:embed="rId12"/>
                    <a:stretch>
                      <a:fillRect/>
                    </a:stretch>
                  </pic:blipFill>
                  <pic:spPr>
                    <a:xfrm>
                      <a:off x="0" y="0"/>
                      <a:ext cx="6263640" cy="6768211"/>
                    </a:xfrm>
                    <a:prstGeom prst="rect"/>
                  </pic:spPr>
                </pic:pic>
              </a:graphicData>
            </a:graphic>
          </wp:inline>
        </w:drawing>
      </w:r>
    </w:p>
    <w:p>
      <w:pPr>
        <w:spacing w:after="140"/>
        <w:jc w:val="center"/>
      </w:pPr>
      <w:r>
        <w:rPr>
          <w:rFonts w:ascii="Aptos" w:hAnsi="Aptos"/>
          <w:b w:val="0"/>
          <w:color w:val="5F6B7A"/>
          <w:sz w:val="15"/>
        </w:rPr>
        <w:t>Catalogue summary widgets make exceptions visible before users scan rows.</w:t>
      </w:r>
    </w:p>
    <w:p>
      <w:r>
        <w:br w:type="page"/>
      </w:r>
    </w:p>
    <w:p>
      <w:pPr>
        <w:spacing w:after="80"/>
      </w:pPr>
      <w:r>
        <w:rPr>
          <w:rFonts w:ascii="Aptos" w:hAnsi="Aptos"/>
          <w:b/>
          <w:color w:val="087F68"/>
          <w:sz w:val="16"/>
        </w:rPr>
        <w:t>DIRECT STOCK OPERATIONS</w:t>
      </w:r>
    </w:p>
    <w:p>
      <w:pPr>
        <w:pStyle w:val="Heading1"/>
      </w:pPr>
      <w:r>
        <w:t>Receive, issue, and adjust stock</w:t>
      </w:r>
    </w:p>
    <w:p>
      <w:pPr>
        <w:pStyle w:val="Heading2"/>
      </w:pPr>
      <w:r>
        <w:t>Receive stock</w:t>
      </w:r>
    </w:p>
    <w:p>
      <w:pPr>
        <w:pStyle w:val="ListNumber"/>
        <w:numPr>
          <w:ilvl w:val="0"/>
          <w:numId w:val="12"/>
        </w:numPr>
      </w:pPr>
      <w:r>
        <w:rPr>
          <w:rFonts w:ascii="Aptos" w:hAnsi="Aptos"/>
          <w:b/>
          <w:color w:val="0B1B2B"/>
          <w:sz w:val="19"/>
        </w:rPr>
        <w:t xml:space="preserve">Choose site and location. </w:t>
      </w:r>
      <w:r>
        <w:rPr>
          <w:rFonts w:ascii="Aptos" w:hAnsi="Aptos"/>
          <w:b w:val="0"/>
          <w:color w:val="172033"/>
          <w:sz w:val="19"/>
        </w:rPr>
        <w:t>Confirm where the stock physically arrived.</w:t>
      </w:r>
    </w:p>
    <w:p>
      <w:pPr>
        <w:pStyle w:val="ListNumber"/>
        <w:numPr>
          <w:ilvl w:val="0"/>
          <w:numId w:val="12"/>
        </w:numPr>
      </w:pPr>
      <w:r>
        <w:rPr>
          <w:rFonts w:ascii="Aptos" w:hAnsi="Aptos"/>
          <w:b/>
          <w:color w:val="0B1B2B"/>
          <w:sz w:val="19"/>
        </w:rPr>
        <w:t xml:space="preserve">Enter source evidence. </w:t>
      </w:r>
      <w:r>
        <w:rPr>
          <w:rFonts w:ascii="Aptos" w:hAnsi="Aptos"/>
          <w:b w:val="0"/>
          <w:color w:val="172033"/>
          <w:sz w:val="19"/>
        </w:rPr>
        <w:t>Capture supplier, delivery, purchase, or other approved reference information.</w:t>
      </w:r>
    </w:p>
    <w:p>
      <w:pPr>
        <w:pStyle w:val="ListNumber"/>
        <w:numPr>
          <w:ilvl w:val="0"/>
          <w:numId w:val="12"/>
        </w:numPr>
      </w:pPr>
      <w:r>
        <w:rPr>
          <w:rFonts w:ascii="Aptos" w:hAnsi="Aptos"/>
          <w:b/>
          <w:color w:val="0B1B2B"/>
          <w:sz w:val="19"/>
        </w:rPr>
        <w:t xml:space="preserve">Add items and quantities. </w:t>
      </w:r>
      <w:r>
        <w:rPr>
          <w:rFonts w:ascii="Aptos" w:hAnsi="Aptos"/>
          <w:b w:val="0"/>
          <w:color w:val="172033"/>
          <w:sz w:val="19"/>
        </w:rPr>
        <w:t>Use the controlled item picker and correct unit.</w:t>
      </w:r>
    </w:p>
    <w:p>
      <w:pPr>
        <w:pStyle w:val="ListNumber"/>
        <w:numPr>
          <w:ilvl w:val="0"/>
          <w:numId w:val="12"/>
        </w:numPr>
      </w:pPr>
      <w:r>
        <w:rPr>
          <w:rFonts w:ascii="Aptos" w:hAnsi="Aptos"/>
          <w:b/>
          <w:color w:val="0B1B2B"/>
          <w:sz w:val="19"/>
        </w:rPr>
        <w:t xml:space="preserve">Review and post. </w:t>
      </w:r>
      <w:r>
        <w:rPr>
          <w:rFonts w:ascii="Aptos" w:hAnsi="Aptos"/>
          <w:b w:val="0"/>
          <w:color w:val="172033"/>
          <w:sz w:val="19"/>
        </w:rPr>
        <w:t>Check every line before creating the inbound ledger movements.</w:t>
      </w:r>
    </w:p>
    <w:p>
      <w:pPr>
        <w:pStyle w:val="Heading2"/>
      </w:pPr>
      <w:r>
        <w:t>Issue stock</w:t>
      </w:r>
    </w:p>
    <w:p>
      <w:pPr>
        <w:pStyle w:val="ListNumber"/>
        <w:numPr>
          <w:ilvl w:val="0"/>
          <w:numId w:val="13"/>
        </w:numPr>
      </w:pPr>
      <w:r>
        <w:rPr>
          <w:rFonts w:ascii="Aptos" w:hAnsi="Aptos"/>
          <w:b/>
          <w:color w:val="0B1B2B"/>
          <w:sz w:val="19"/>
        </w:rPr>
        <w:t xml:space="preserve">Choose site and location. </w:t>
      </w:r>
      <w:r>
        <w:rPr>
          <w:rFonts w:ascii="Aptos" w:hAnsi="Aptos"/>
          <w:b w:val="0"/>
          <w:color w:val="172033"/>
          <w:sz w:val="19"/>
        </w:rPr>
        <w:t>Select the point from which stock will leave.</w:t>
      </w:r>
    </w:p>
    <w:p>
      <w:pPr>
        <w:pStyle w:val="ListNumber"/>
        <w:numPr>
          <w:ilvl w:val="0"/>
          <w:numId w:val="13"/>
        </w:numPr>
      </w:pPr>
      <w:r>
        <w:rPr>
          <w:rFonts w:ascii="Aptos" w:hAnsi="Aptos"/>
          <w:b/>
          <w:color w:val="0B1B2B"/>
          <w:sz w:val="19"/>
        </w:rPr>
        <w:t xml:space="preserve">State purpose and recipient. </w:t>
      </w:r>
      <w:r>
        <w:rPr>
          <w:rFonts w:ascii="Aptos" w:hAnsi="Aptos"/>
          <w:b w:val="0"/>
          <w:color w:val="172033"/>
          <w:sz w:val="19"/>
        </w:rPr>
        <w:t>Use meaningful operational references and reasons.</w:t>
      </w:r>
    </w:p>
    <w:p>
      <w:pPr>
        <w:pStyle w:val="ListNumber"/>
        <w:numPr>
          <w:ilvl w:val="0"/>
          <w:numId w:val="13"/>
        </w:numPr>
      </w:pPr>
      <w:r>
        <w:rPr>
          <w:rFonts w:ascii="Aptos" w:hAnsi="Aptos"/>
          <w:b/>
          <w:color w:val="0B1B2B"/>
          <w:sz w:val="19"/>
        </w:rPr>
        <w:t xml:space="preserve">Add quantities. </w:t>
      </w:r>
      <w:r>
        <w:rPr>
          <w:rFonts w:ascii="Aptos" w:hAnsi="Aptos"/>
          <w:b w:val="0"/>
          <w:color w:val="172033"/>
          <w:sz w:val="19"/>
        </w:rPr>
        <w:t>The portal checks availability at the selected location.</w:t>
      </w:r>
    </w:p>
    <w:p>
      <w:pPr>
        <w:pStyle w:val="ListNumber"/>
        <w:numPr>
          <w:ilvl w:val="0"/>
          <w:numId w:val="13"/>
        </w:numPr>
      </w:pPr>
      <w:r>
        <w:rPr>
          <w:rFonts w:ascii="Aptos" w:hAnsi="Aptos"/>
          <w:b/>
          <w:color w:val="0B1B2B"/>
          <w:sz w:val="19"/>
        </w:rPr>
        <w:t xml:space="preserve">Review and post. </w:t>
      </w:r>
      <w:r>
        <w:rPr>
          <w:rFonts w:ascii="Aptos" w:hAnsi="Aptos"/>
          <w:b w:val="0"/>
          <w:color w:val="172033"/>
          <w:sz w:val="19"/>
        </w:rPr>
        <w:t>Confirm the outbound movement and resulting balance.</w:t>
      </w:r>
    </w:p>
    <w:p>
      <w:pPr>
        <w:pStyle w:val="Heading2"/>
      </w:pPr>
      <w:r>
        <w:t>Adjust stock</w:t>
      </w:r>
    </w:p>
    <w:p>
      <w:r>
        <w:t>Use adjustment only for an approved correction that is not better represented by a receipt, issue, transfer, count, or reversal.</w:t>
      </w:r>
    </w:p>
    <w:tbl>
      <w:tblPr>
        <w:tblW w:type="auto" w:w="0"/>
        <w:jc w:val="center"/>
        <w:tblLayout w:type="fixed"/>
        <w:tblLook w:firstColumn="1" w:firstRow="1" w:lastColumn="0" w:lastRow="0" w:noHBand="0" w:noVBand="1" w:val="04A0"/>
      </w:tblPr>
      <w:tblGrid>
        <w:gridCol w:w="173"/>
        <w:gridCol w:w="9720"/>
      </w:tblGrid>
      <w:tr>
        <w:trPr/>
        <w:tc>
          <w:tcPr>
            <w:tcW w:type="dxa" w:w="5184"/>
            <w:shd w:fill="1779A9"/>
            <w:tcMar>
              <w:top w:w="50" w:type="dxa"/>
              <w:start w:w="0" w:type="dxa"/>
              <w:bottom w:w="50" w:type="dxa"/>
              <w:end w:w="0" w:type="dxa"/>
            </w:tcMar>
          </w:tcPr>
          <w:p/>
        </w:tc>
        <w:tc>
          <w:tcPr>
            <w:tcW w:type="dxa" w:w="5184"/>
            <w:shd w:fill="E9F1F7"/>
            <w:tcMar>
              <w:top w:w="120" w:type="dxa"/>
              <w:start w:w="150" w:type="dxa"/>
              <w:bottom w:w="120" w:type="dxa"/>
              <w:end w:w="150" w:type="dxa"/>
            </w:tcMar>
          </w:tcPr>
          <w:p>
            <w:r>
              <w:rPr>
                <w:rFonts w:ascii="Aptos" w:hAnsi="Aptos"/>
                <w:b/>
                <w:color w:val="1779A9"/>
                <w:sz w:val="19"/>
              </w:rPr>
              <w:t xml:space="preserve">Control point.  </w:t>
            </w:r>
            <w:r>
              <w:rPr>
                <w:rFonts w:ascii="Aptos" w:hAnsi="Aptos"/>
                <w:b w:val="0"/>
                <w:color w:val="172033"/>
                <w:sz w:val="19"/>
              </w:rPr>
              <w:t>Adjustments require a clear reason and supporting reference. They should be reviewed for frequency, value, and user pattern.</w:t>
            </w:r>
          </w:p>
        </w:tc>
      </w:tr>
    </w:tbl>
    <w:p>
      <w:r>
        <w:br w:type="page"/>
      </w:r>
    </w:p>
    <w:p>
      <w:pPr>
        <w:spacing w:after="80"/>
      </w:pPr>
      <w:r>
        <w:rPr>
          <w:rFonts w:ascii="Aptos" w:hAnsi="Aptos"/>
          <w:b/>
          <w:color w:val="087F68"/>
          <w:sz w:val="16"/>
        </w:rPr>
        <w:t>INTER-SITE WORKFLOW</w:t>
      </w:r>
    </w:p>
    <w:p>
      <w:pPr>
        <w:pStyle w:val="Heading1"/>
      </w:pPr>
      <w:r>
        <w:t>Create and complete a stock transfer</w:t>
      </w:r>
    </w:p>
    <w:p>
      <w:r>
        <w:t>A transfer preserves custody between the source and destination. It is not a pair of unrelated issue and receipt transactions.</w:t>
      </w:r>
    </w:p>
    <w:p>
      <w:pPr>
        <w:pStyle w:val="Heading2"/>
      </w:pPr>
      <w:r>
        <w:t>Lifecycle</w:t>
      </w:r>
    </w:p>
    <w:p>
      <w:pPr>
        <w:pStyle w:val="Quote"/>
      </w:pPr>
      <w:r>
        <w:t>Draft  &gt;  Submitted  &gt;  Approved  &gt;  Dispatched  &gt;  Received</w:t>
      </w:r>
    </w:p>
    <w:p>
      <w:pPr>
        <w:pStyle w:val="ListNumber"/>
        <w:numPr>
          <w:ilvl w:val="0"/>
          <w:numId w:val="14"/>
        </w:numPr>
      </w:pPr>
      <w:r>
        <w:rPr>
          <w:rFonts w:ascii="Aptos" w:hAnsi="Aptos"/>
          <w:b/>
          <w:color w:val="0B1B2B"/>
          <w:sz w:val="19"/>
        </w:rPr>
        <w:t xml:space="preserve">Create. </w:t>
      </w:r>
      <w:r>
        <w:rPr>
          <w:rFonts w:ascii="Aptos" w:hAnsi="Aptos"/>
          <w:b w:val="0"/>
          <w:color w:val="172033"/>
          <w:sz w:val="19"/>
        </w:rPr>
        <w:t>Choose source, destination, expected date, purpose, and requested lines.</w:t>
      </w:r>
    </w:p>
    <w:p>
      <w:pPr>
        <w:pStyle w:val="ListNumber"/>
        <w:numPr>
          <w:ilvl w:val="0"/>
          <w:numId w:val="14"/>
        </w:numPr>
      </w:pPr>
      <w:r>
        <w:rPr>
          <w:rFonts w:ascii="Aptos" w:hAnsi="Aptos"/>
          <w:b/>
          <w:color w:val="0B1B2B"/>
          <w:sz w:val="19"/>
        </w:rPr>
        <w:t xml:space="preserve">Submit. </w:t>
      </w:r>
      <w:r>
        <w:rPr>
          <w:rFonts w:ascii="Aptos" w:hAnsi="Aptos"/>
          <w:b w:val="0"/>
          <w:color w:val="172033"/>
          <w:sz w:val="19"/>
        </w:rPr>
        <w:t>Lock the request for review and expose it to approvers.</w:t>
      </w:r>
    </w:p>
    <w:p>
      <w:pPr>
        <w:pStyle w:val="ListNumber"/>
        <w:numPr>
          <w:ilvl w:val="0"/>
          <w:numId w:val="14"/>
        </w:numPr>
      </w:pPr>
      <w:r>
        <w:rPr>
          <w:rFonts w:ascii="Aptos" w:hAnsi="Aptos"/>
          <w:b/>
          <w:color w:val="0B1B2B"/>
          <w:sz w:val="19"/>
        </w:rPr>
        <w:t xml:space="preserve">Approve or reject. </w:t>
      </w:r>
      <w:r>
        <w:rPr>
          <w:rFonts w:ascii="Aptos" w:hAnsi="Aptos"/>
          <w:b w:val="0"/>
          <w:color w:val="172033"/>
          <w:sz w:val="19"/>
        </w:rPr>
        <w:t>Apply role and site authority before physical dispatch.</w:t>
      </w:r>
    </w:p>
    <w:p>
      <w:pPr>
        <w:pStyle w:val="ListNumber"/>
        <w:numPr>
          <w:ilvl w:val="0"/>
          <w:numId w:val="14"/>
        </w:numPr>
      </w:pPr>
      <w:r>
        <w:rPr>
          <w:rFonts w:ascii="Aptos" w:hAnsi="Aptos"/>
          <w:b/>
          <w:color w:val="0B1B2B"/>
          <w:sz w:val="19"/>
        </w:rPr>
        <w:t xml:space="preserve">Dispatch. </w:t>
      </w:r>
      <w:r>
        <w:rPr>
          <w:rFonts w:ascii="Aptos" w:hAnsi="Aptos"/>
          <w:b w:val="0"/>
          <w:color w:val="172033"/>
          <w:sz w:val="19"/>
        </w:rPr>
        <w:t>Record quantities that leave the source and move them into in-transit custody.</w:t>
      </w:r>
    </w:p>
    <w:p>
      <w:pPr>
        <w:pStyle w:val="ListNumber"/>
        <w:numPr>
          <w:ilvl w:val="0"/>
          <w:numId w:val="14"/>
        </w:numPr>
      </w:pPr>
      <w:r>
        <w:rPr>
          <w:rFonts w:ascii="Aptos" w:hAnsi="Aptos"/>
          <w:b/>
          <w:color w:val="0B1B2B"/>
          <w:sz w:val="19"/>
        </w:rPr>
        <w:t xml:space="preserve">Receive. </w:t>
      </w:r>
      <w:r>
        <w:rPr>
          <w:rFonts w:ascii="Aptos" w:hAnsi="Aptos"/>
          <w:b w:val="0"/>
          <w:color w:val="172033"/>
          <w:sz w:val="19"/>
        </w:rPr>
        <w:t>Confirm destination quantities and record any discrepancy.</w:t>
      </w:r>
    </w:p>
    <w:tbl>
      <w:tblPr>
        <w:tblW w:type="auto" w:w="0"/>
        <w:jc w:val="center"/>
        <w:tblLayout w:type="fixed"/>
        <w:tblLook w:firstColumn="1" w:firstRow="1" w:lastColumn="0" w:lastRow="0" w:noHBand="0" w:noVBand="1" w:val="04A0"/>
      </w:tblPr>
      <w:tblGrid>
        <w:gridCol w:w="173"/>
        <w:gridCol w:w="9720"/>
      </w:tblGrid>
      <w:tr>
        <w:trPr/>
        <w:tc>
          <w:tcPr>
            <w:tcW w:type="dxa" w:w="5184"/>
            <w:shd w:fill="A65B00"/>
            <w:tcMar>
              <w:top w:w="50" w:type="dxa"/>
              <w:start w:w="0" w:type="dxa"/>
              <w:bottom w:w="50" w:type="dxa"/>
              <w:end w:w="0" w:type="dxa"/>
            </w:tcMar>
          </w:tcPr>
          <w:p/>
        </w:tc>
        <w:tc>
          <w:tcPr>
            <w:tcW w:type="dxa" w:w="5184"/>
            <w:shd w:fill="FFF2DF"/>
            <w:tcMar>
              <w:top w:w="120" w:type="dxa"/>
              <w:start w:w="150" w:type="dxa"/>
              <w:bottom w:w="120" w:type="dxa"/>
              <w:end w:w="150" w:type="dxa"/>
            </w:tcMar>
          </w:tcPr>
          <w:p>
            <w:r>
              <w:rPr>
                <w:rFonts w:ascii="Aptos" w:hAnsi="Aptos"/>
                <w:b/>
                <w:color w:val="A65B00"/>
                <w:sz w:val="19"/>
              </w:rPr>
              <w:t xml:space="preserve">Discrepancies stay visible.  </w:t>
            </w:r>
            <w:r>
              <w:rPr>
                <w:rFonts w:ascii="Aptos" w:hAnsi="Aptos"/>
                <w:b w:val="0"/>
                <w:color w:val="172033"/>
                <w:sz w:val="19"/>
              </w:rPr>
              <w:t>Short, excess, or damaged quantities must be investigated and resolved through an authorised follow-up process.</w:t>
            </w:r>
          </w:p>
        </w:tc>
      </w:tr>
    </w:tbl>
    <w:p>
      <w:pPr>
        <w:spacing w:before="100" w:after="60"/>
        <w:jc w:val="center"/>
      </w:pPr>
      <w:r>
        <w:drawing>
          <wp:inline xmlns:a="http://schemas.openxmlformats.org/drawingml/2006/main" xmlns:pic="http://schemas.openxmlformats.org/drawingml/2006/picture">
            <wp:extent cx="6263640" cy="4175760"/>
            <wp:docPr id="6" name="Picture 6" descr="Transfer summaries separate pending approvals, in-transit stock, and discrepancies." title="Transfer summaries separate pending approvals, in-transit stock, and discrepancies."/>
            <wp:cNvGraphicFramePr>
              <a:graphicFrameLocks noChangeAspect="1"/>
            </wp:cNvGraphicFramePr>
            <a:graphic>
              <a:graphicData uri="http://schemas.openxmlformats.org/drawingml/2006/picture">
                <pic:pic>
                  <pic:nvPicPr>
                    <pic:cNvPr id="0" name="05-transfers.png"/>
                    <pic:cNvPicPr/>
                  </pic:nvPicPr>
                  <pic:blipFill>
                    <a:blip r:embed="rId13"/>
                    <a:stretch>
                      <a:fillRect/>
                    </a:stretch>
                  </pic:blipFill>
                  <pic:spPr>
                    <a:xfrm>
                      <a:off x="0" y="0"/>
                      <a:ext cx="6263640" cy="4175760"/>
                    </a:xfrm>
                    <a:prstGeom prst="rect"/>
                  </pic:spPr>
                </pic:pic>
              </a:graphicData>
            </a:graphic>
          </wp:inline>
        </w:drawing>
      </w:r>
    </w:p>
    <w:p>
      <w:pPr>
        <w:spacing w:after="140"/>
        <w:jc w:val="center"/>
      </w:pPr>
      <w:r>
        <w:rPr>
          <w:rFonts w:ascii="Aptos" w:hAnsi="Aptos"/>
          <w:b w:val="0"/>
          <w:color w:val="5F6B7A"/>
          <w:sz w:val="15"/>
        </w:rPr>
        <w:t>Transfer summaries separate pending approvals, in-transit stock, and discrepancies.</w:t>
      </w:r>
    </w:p>
    <w:p>
      <w:r>
        <w:br w:type="page"/>
      </w:r>
    </w:p>
    <w:p>
      <w:pPr>
        <w:spacing w:after="80"/>
      </w:pPr>
      <w:r>
        <w:rPr>
          <w:rFonts w:ascii="Aptos" w:hAnsi="Aptos"/>
          <w:b/>
          <w:color w:val="087F68"/>
          <w:sz w:val="16"/>
        </w:rPr>
        <w:t>INVENTORY ASSURANCE</w:t>
      </w:r>
    </w:p>
    <w:p>
      <w:pPr>
        <w:pStyle w:val="Heading1"/>
      </w:pPr>
      <w:r>
        <w:t>Run and post a stock count</w:t>
      </w:r>
    </w:p>
    <w:p>
      <w:pPr>
        <w:pStyle w:val="Heading2"/>
      </w:pPr>
      <w:r>
        <w:t>Lifecycle</w:t>
      </w:r>
    </w:p>
    <w:p>
      <w:pPr>
        <w:pStyle w:val="Quote"/>
      </w:pPr>
      <w:r>
        <w:t>Draft  &gt;  In progress  &gt;  Submitted  &gt;  Recount required or approved  &gt;  Posted</w:t>
      </w:r>
    </w:p>
    <w:p>
      <w:pPr>
        <w:pStyle w:val="ListNumber"/>
        <w:numPr>
          <w:ilvl w:val="0"/>
          <w:numId w:val="15"/>
        </w:numPr>
      </w:pPr>
      <w:r>
        <w:rPr>
          <w:rFonts w:ascii="Aptos" w:hAnsi="Aptos"/>
          <w:b/>
          <w:color w:val="0B1B2B"/>
          <w:sz w:val="19"/>
        </w:rPr>
        <w:t xml:space="preserve">Define scope. </w:t>
      </w:r>
      <w:r>
        <w:rPr>
          <w:rFonts w:ascii="Aptos" w:hAnsi="Aptos"/>
          <w:b w:val="0"/>
          <w:color w:val="172033"/>
          <w:sz w:val="19"/>
        </w:rPr>
        <w:t>Select the site, location, count type, and included items or categories.</w:t>
      </w:r>
    </w:p>
    <w:p>
      <w:pPr>
        <w:pStyle w:val="ListNumber"/>
        <w:numPr>
          <w:ilvl w:val="0"/>
          <w:numId w:val="15"/>
        </w:numPr>
      </w:pPr>
      <w:r>
        <w:rPr>
          <w:rFonts w:ascii="Aptos" w:hAnsi="Aptos"/>
          <w:b/>
          <w:color w:val="0B1B2B"/>
          <w:sz w:val="19"/>
        </w:rPr>
        <w:t xml:space="preserve">Start the count. </w:t>
      </w:r>
      <w:r>
        <w:rPr>
          <w:rFonts w:ascii="Aptos" w:hAnsi="Aptos"/>
          <w:b w:val="0"/>
          <w:color w:val="172033"/>
          <w:sz w:val="19"/>
        </w:rPr>
        <w:t>Freeze the count snapshot and assign responsibility.</w:t>
      </w:r>
    </w:p>
    <w:p>
      <w:pPr>
        <w:pStyle w:val="ListNumber"/>
        <w:numPr>
          <w:ilvl w:val="0"/>
          <w:numId w:val="15"/>
        </w:numPr>
      </w:pPr>
      <w:r>
        <w:rPr>
          <w:rFonts w:ascii="Aptos" w:hAnsi="Aptos"/>
          <w:b/>
          <w:color w:val="0B1B2B"/>
          <w:sz w:val="19"/>
        </w:rPr>
        <w:t xml:space="preserve">Capture physical quantities. </w:t>
      </w:r>
      <w:r>
        <w:rPr>
          <w:rFonts w:ascii="Aptos" w:hAnsi="Aptos"/>
          <w:b w:val="0"/>
          <w:color w:val="172033"/>
          <w:sz w:val="19"/>
        </w:rPr>
        <w:t>Enter observed stock without changing balances directly.</w:t>
      </w:r>
    </w:p>
    <w:p>
      <w:pPr>
        <w:pStyle w:val="ListNumber"/>
        <w:numPr>
          <w:ilvl w:val="0"/>
          <w:numId w:val="15"/>
        </w:numPr>
      </w:pPr>
      <w:r>
        <w:rPr>
          <w:rFonts w:ascii="Aptos" w:hAnsi="Aptos"/>
          <w:b/>
          <w:color w:val="0B1B2B"/>
          <w:sz w:val="19"/>
        </w:rPr>
        <w:t xml:space="preserve">Submit. </w:t>
      </w:r>
      <w:r>
        <w:rPr>
          <w:rFonts w:ascii="Aptos" w:hAnsi="Aptos"/>
          <w:b w:val="0"/>
          <w:color w:val="172033"/>
          <w:sz w:val="19"/>
        </w:rPr>
        <w:t>Calculate and expose variances for independent review.</w:t>
      </w:r>
    </w:p>
    <w:p>
      <w:pPr>
        <w:pStyle w:val="ListNumber"/>
        <w:numPr>
          <w:ilvl w:val="0"/>
          <w:numId w:val="15"/>
        </w:numPr>
      </w:pPr>
      <w:r>
        <w:rPr>
          <w:rFonts w:ascii="Aptos" w:hAnsi="Aptos"/>
          <w:b/>
          <w:color w:val="0B1B2B"/>
          <w:sz w:val="19"/>
        </w:rPr>
        <w:t xml:space="preserve">Recount or approve. </w:t>
      </w:r>
      <w:r>
        <w:rPr>
          <w:rFonts w:ascii="Aptos" w:hAnsi="Aptos"/>
          <w:b w:val="0"/>
          <w:color w:val="172033"/>
          <w:sz w:val="19"/>
        </w:rPr>
        <w:t>Resolve material or suspicious differences.</w:t>
      </w:r>
    </w:p>
    <w:p>
      <w:pPr>
        <w:pStyle w:val="ListNumber"/>
        <w:numPr>
          <w:ilvl w:val="0"/>
          <w:numId w:val="15"/>
        </w:numPr>
      </w:pPr>
      <w:r>
        <w:rPr>
          <w:rFonts w:ascii="Aptos" w:hAnsi="Aptos"/>
          <w:b/>
          <w:color w:val="0B1B2B"/>
          <w:sz w:val="19"/>
        </w:rPr>
        <w:t xml:space="preserve">Post. </w:t>
      </w:r>
      <w:r>
        <w:rPr>
          <w:rFonts w:ascii="Aptos" w:hAnsi="Aptos"/>
          <w:b w:val="0"/>
          <w:color w:val="172033"/>
          <w:sz w:val="19"/>
        </w:rPr>
        <w:t>Create authorised adjustment movements and complete the count evidence.</w:t>
      </w:r>
    </w:p>
    <w:tbl>
      <w:tblPr>
        <w:tblW w:type="auto" w:w="0"/>
        <w:jc w:val="center"/>
        <w:tblLayout w:type="fixed"/>
        <w:tblLook w:firstColumn="1" w:firstRow="1" w:lastColumn="0" w:lastRow="0" w:noHBand="0" w:noVBand="1" w:val="04A0"/>
      </w:tblPr>
      <w:tblGrid>
        <w:gridCol w:w="173"/>
        <w:gridCol w:w="9720"/>
      </w:tblGrid>
      <w:tr>
        <w:trPr/>
        <w:tc>
          <w:tcPr>
            <w:tcW w:type="dxa" w:w="5184"/>
            <w:shd w:fill="1779A9"/>
            <w:tcMar>
              <w:top w:w="50" w:type="dxa"/>
              <w:start w:w="0" w:type="dxa"/>
              <w:bottom w:w="50" w:type="dxa"/>
              <w:end w:w="0" w:type="dxa"/>
            </w:tcMar>
          </w:tcPr>
          <w:p/>
        </w:tc>
        <w:tc>
          <w:tcPr>
            <w:tcW w:type="dxa" w:w="5184"/>
            <w:shd w:fill="E9F1F7"/>
            <w:tcMar>
              <w:top w:w="120" w:type="dxa"/>
              <w:start w:w="150" w:type="dxa"/>
              <w:bottom w:w="120" w:type="dxa"/>
              <w:end w:w="150" w:type="dxa"/>
            </w:tcMar>
          </w:tcPr>
          <w:p>
            <w:r>
              <w:rPr>
                <w:rFonts w:ascii="Aptos" w:hAnsi="Aptos"/>
                <w:b/>
                <w:color w:val="1779A9"/>
                <w:sz w:val="19"/>
              </w:rPr>
              <w:t xml:space="preserve">Do not overwrite balances.  </w:t>
            </w:r>
            <w:r>
              <w:rPr>
                <w:rFonts w:ascii="Aptos" w:hAnsi="Aptos"/>
                <w:b w:val="0"/>
                <w:color w:val="172033"/>
                <w:sz w:val="19"/>
              </w:rPr>
              <w:t>The count workflow preserves expected quantity, counted quantity, variance, review decisions, and the resulting ledger entries.</w:t>
            </w:r>
          </w:p>
        </w:tc>
      </w:tr>
    </w:tbl>
    <w:p>
      <w:pPr>
        <w:spacing w:before="100" w:after="60"/>
        <w:jc w:val="center"/>
      </w:pPr>
      <w:r>
        <w:drawing>
          <wp:inline xmlns:a="http://schemas.openxmlformats.org/drawingml/2006/main" xmlns:pic="http://schemas.openxmlformats.org/drawingml/2006/picture">
            <wp:extent cx="6263640" cy="4175760"/>
            <wp:docPr id="7" name="Picture 7" descr="The stock-count list highlights active work, submitted reviews, and variance value." title="The stock-count list highlights active work, submitted reviews, and variance value."/>
            <wp:cNvGraphicFramePr>
              <a:graphicFrameLocks noChangeAspect="1"/>
            </wp:cNvGraphicFramePr>
            <a:graphic>
              <a:graphicData uri="http://schemas.openxmlformats.org/drawingml/2006/picture">
                <pic:pic>
                  <pic:nvPicPr>
                    <pic:cNvPr id="0" name="06-counts.png"/>
                    <pic:cNvPicPr/>
                  </pic:nvPicPr>
                  <pic:blipFill>
                    <a:blip r:embed="rId14"/>
                    <a:stretch>
                      <a:fillRect/>
                    </a:stretch>
                  </pic:blipFill>
                  <pic:spPr>
                    <a:xfrm>
                      <a:off x="0" y="0"/>
                      <a:ext cx="6263640" cy="4175760"/>
                    </a:xfrm>
                    <a:prstGeom prst="rect"/>
                  </pic:spPr>
                </pic:pic>
              </a:graphicData>
            </a:graphic>
          </wp:inline>
        </w:drawing>
      </w:r>
    </w:p>
    <w:p>
      <w:pPr>
        <w:spacing w:after="140"/>
        <w:jc w:val="center"/>
      </w:pPr>
      <w:r>
        <w:rPr>
          <w:rFonts w:ascii="Aptos" w:hAnsi="Aptos"/>
          <w:b w:val="0"/>
          <w:color w:val="5F6B7A"/>
          <w:sz w:val="15"/>
        </w:rPr>
        <w:t>The stock-count list highlights active work, submitted reviews, and variance value.</w:t>
      </w:r>
    </w:p>
    <w:p>
      <w:r>
        <w:br w:type="page"/>
      </w:r>
    </w:p>
    <w:p>
      <w:pPr>
        <w:spacing w:after="80"/>
      </w:pPr>
      <w:r>
        <w:rPr>
          <w:rFonts w:ascii="Aptos" w:hAnsi="Aptos"/>
          <w:b/>
          <w:color w:val="087F68"/>
          <w:sz w:val="16"/>
        </w:rPr>
        <w:t>ACCOUNTABLE EQUIPMENT</w:t>
      </w:r>
    </w:p>
    <w:p>
      <w:pPr>
        <w:pStyle w:val="Heading1"/>
      </w:pPr>
      <w:r>
        <w:t>Manage assets separately from stock</w:t>
      </w:r>
    </w:p>
    <w:p>
      <w:r>
        <w:t>Assets represent identifiable equipment that needs status, assignment, location, and lifecycle history. They should not be mixed with quantity-based inventory.</w:t>
      </w:r>
    </w:p>
    <w:p>
      <w:pPr>
        <w:pStyle w:val="ListBullet"/>
      </w:pPr>
      <w:r>
        <w:t>Create or review the asset code, name, category, ownership type, serial or identifying details, and status.</w:t>
      </w:r>
    </w:p>
    <w:p>
      <w:pPr>
        <w:pStyle w:val="ListBullet"/>
      </w:pPr>
      <w:r>
        <w:t>Track company-owned, hired, and client-owned equipment distinctly.</w:t>
      </w:r>
    </w:p>
    <w:p>
      <w:pPr>
        <w:pStyle w:val="ListBullet"/>
      </w:pPr>
      <w:r>
        <w:t>Record site or location assignment and responsible custodian where applicable.</w:t>
      </w:r>
    </w:p>
    <w:p>
      <w:pPr>
        <w:pStyle w:val="ListBullet"/>
      </w:pPr>
      <w:r>
        <w:t>Use asset status changes for operational states such as active, maintenance, unavailable, or retired.</w:t>
      </w:r>
    </w:p>
    <w:p>
      <w:pPr>
        <w:pStyle w:val="ListBullet"/>
      </w:pPr>
      <w:r>
        <w:t>Review asset history before accepting handover or making a lifecycle decision.</w:t>
      </w:r>
    </w:p>
    <w:p>
      <w:pPr>
        <w:spacing w:before="100" w:after="60"/>
        <w:jc w:val="center"/>
      </w:pPr>
      <w:r>
        <w:drawing>
          <wp:inline xmlns:a="http://schemas.openxmlformats.org/drawingml/2006/main" xmlns:pic="http://schemas.openxmlformats.org/drawingml/2006/picture">
            <wp:extent cx="6263640" cy="4175760"/>
            <wp:docPr id="8" name="Picture 8" descr="The asset register combines identity, ownership, location, status, and lifecycle visibility." title="The asset register combines identity, ownership, location, status, and lifecycle visibility."/>
            <wp:cNvGraphicFramePr>
              <a:graphicFrameLocks noChangeAspect="1"/>
            </wp:cNvGraphicFramePr>
            <a:graphic>
              <a:graphicData uri="http://schemas.openxmlformats.org/drawingml/2006/picture">
                <pic:pic>
                  <pic:nvPicPr>
                    <pic:cNvPr id="0" name="07-assets.png"/>
                    <pic:cNvPicPr/>
                  </pic:nvPicPr>
                  <pic:blipFill>
                    <a:blip r:embed="rId15"/>
                    <a:stretch>
                      <a:fillRect/>
                    </a:stretch>
                  </pic:blipFill>
                  <pic:spPr>
                    <a:xfrm>
                      <a:off x="0" y="0"/>
                      <a:ext cx="6263640" cy="4175760"/>
                    </a:xfrm>
                    <a:prstGeom prst="rect"/>
                  </pic:spPr>
                </pic:pic>
              </a:graphicData>
            </a:graphic>
          </wp:inline>
        </w:drawing>
      </w:r>
    </w:p>
    <w:p>
      <w:pPr>
        <w:spacing w:after="140"/>
        <w:jc w:val="center"/>
      </w:pPr>
      <w:r>
        <w:rPr>
          <w:rFonts w:ascii="Aptos" w:hAnsi="Aptos"/>
          <w:b w:val="0"/>
          <w:color w:val="5F6B7A"/>
          <w:sz w:val="15"/>
        </w:rPr>
        <w:t>The asset register combines identity, ownership, location, status, and lifecycle visibility.</w:t>
      </w:r>
    </w:p>
    <w:p>
      <w:r>
        <w:br w:type="page"/>
      </w:r>
    </w:p>
    <w:p>
      <w:pPr>
        <w:spacing w:after="80"/>
      </w:pPr>
      <w:r>
        <w:rPr>
          <w:rFonts w:ascii="Aptos" w:hAnsi="Aptos"/>
          <w:b/>
          <w:color w:val="087F68"/>
          <w:sz w:val="16"/>
        </w:rPr>
        <w:t>INSIGHT AND EVIDENCE</w:t>
      </w:r>
    </w:p>
    <w:p>
      <w:pPr>
        <w:pStyle w:val="Heading1"/>
      </w:pPr>
      <w:r>
        <w:t>Use reports and the audit log</w:t>
      </w:r>
    </w:p>
    <w:p>
      <w:pPr>
        <w:pStyle w:val="Heading2"/>
      </w:pPr>
      <w:r>
        <w:t>Reports</w:t>
      </w:r>
    </w:p>
    <w:p>
      <w:r>
        <w:t>Reports provide filtered operational views for balances, movements, transfers, counts, and assets. Select the report type, scope, dates, and filters, then review before exporting.</w:t>
      </w:r>
    </w:p>
    <w:p>
      <w:pPr>
        <w:pStyle w:val="Heading2"/>
      </w:pPr>
      <w:r>
        <w:t>Audit log</w:t>
      </w:r>
    </w:p>
    <w:p>
      <w:r>
        <w:t>The audit log records important business and access events. It is designed to show who did what and when, while keeping passwords, hashes, biography contents, and phone values out of audit payloads.</w:t>
      </w:r>
    </w:p>
    <w:p>
      <w:pPr>
        <w:pStyle w:val="ListBullet"/>
      </w:pPr>
      <w:r>
        <w:t>Search by event, entity, user, or time period.</w:t>
      </w:r>
    </w:p>
    <w:p>
      <w:pPr>
        <w:pStyle w:val="ListBullet"/>
      </w:pPr>
      <w:r>
        <w:t>Use the related reference to trace back to the operational record.</w:t>
      </w:r>
    </w:p>
    <w:p>
      <w:pPr>
        <w:pStyle w:val="ListBullet"/>
      </w:pPr>
      <w:r>
        <w:t>Investigate reversals, adjustments, rejected workflows, access changes, and unusual timing.</w:t>
      </w:r>
    </w:p>
    <w:p>
      <w:pPr>
        <w:pStyle w:val="ListBullet"/>
      </w:pPr>
      <w:r>
        <w:t>Export only the evidence required for the review and protect personal information.</w:t>
      </w:r>
    </w:p>
    <w:p>
      <w:pPr>
        <w:spacing w:before="100" w:after="60"/>
        <w:jc w:val="center"/>
      </w:pPr>
      <w:r>
        <w:drawing>
          <wp:inline xmlns:a="http://schemas.openxmlformats.org/drawingml/2006/main" xmlns:pic="http://schemas.openxmlformats.org/drawingml/2006/picture">
            <wp:extent cx="6263640" cy="4610735"/>
            <wp:docPr id="9" name="Picture 9" descr="The audit log supports focused review without exposing sensitive values." title="The audit log supports focused review without exposing sensitive values."/>
            <wp:cNvGraphicFramePr>
              <a:graphicFrameLocks noChangeAspect="1"/>
            </wp:cNvGraphicFramePr>
            <a:graphic>
              <a:graphicData uri="http://schemas.openxmlformats.org/drawingml/2006/picture">
                <pic:pic>
                  <pic:nvPicPr>
                    <pic:cNvPr id="0" name="09-audit.png"/>
                    <pic:cNvPicPr/>
                  </pic:nvPicPr>
                  <pic:blipFill>
                    <a:blip r:embed="rId16"/>
                    <a:stretch>
                      <a:fillRect/>
                    </a:stretch>
                  </pic:blipFill>
                  <pic:spPr>
                    <a:xfrm>
                      <a:off x="0" y="0"/>
                      <a:ext cx="6263640" cy="4610735"/>
                    </a:xfrm>
                    <a:prstGeom prst="rect"/>
                  </pic:spPr>
                </pic:pic>
              </a:graphicData>
            </a:graphic>
          </wp:inline>
        </w:drawing>
      </w:r>
    </w:p>
    <w:p>
      <w:pPr>
        <w:spacing w:after="140"/>
        <w:jc w:val="center"/>
      </w:pPr>
      <w:r>
        <w:rPr>
          <w:rFonts w:ascii="Aptos" w:hAnsi="Aptos"/>
          <w:b w:val="0"/>
          <w:color w:val="5F6B7A"/>
          <w:sz w:val="15"/>
        </w:rPr>
        <w:t>The audit log supports focused review without exposing sensitive values.</w:t>
      </w:r>
    </w:p>
    <w:p>
      <w:r>
        <w:br w:type="page"/>
      </w:r>
    </w:p>
    <w:p>
      <w:pPr>
        <w:spacing w:after="80"/>
      </w:pPr>
      <w:r>
        <w:rPr>
          <w:rFonts w:ascii="Aptos" w:hAnsi="Aptos"/>
          <w:b/>
          <w:color w:val="087F68"/>
          <w:sz w:val="16"/>
        </w:rPr>
        <w:t>PEOPLE AND ACCESS</w:t>
      </w:r>
    </w:p>
    <w:p>
      <w:pPr>
        <w:pStyle w:val="Heading1"/>
      </w:pPr>
      <w:r>
        <w:t>Administration and user profiles</w:t>
      </w:r>
    </w:p>
    <w:p>
      <w:pPr>
        <w:pStyle w:val="Heading2"/>
      </w:pPr>
      <w:r>
        <w:t>Administrator responsibilities</w:t>
      </w:r>
    </w:p>
    <w:p>
      <w:pPr>
        <w:pStyle w:val="ListBullet"/>
      </w:pPr>
      <w:r>
        <w:t>Create accounts with an immutable login email.</w:t>
      </w:r>
    </w:p>
    <w:p>
      <w:pPr>
        <w:pStyle w:val="ListBullet"/>
      </w:pPr>
      <w:r>
        <w:t>Assign role, status, sites, and all-site access according to approved authority.</w:t>
      </w:r>
    </w:p>
    <w:p>
      <w:pPr>
        <w:pStyle w:val="ListBullet"/>
      </w:pPr>
      <w:r>
        <w:t>Maintain controlled employment fields such as job title and department.</w:t>
      </w:r>
    </w:p>
    <w:p>
      <w:pPr>
        <w:pStyle w:val="ListBullet"/>
      </w:pPr>
      <w:r>
        <w:t>Use temporary-password and activation workflows carefully.</w:t>
      </w:r>
    </w:p>
    <w:p>
      <w:pPr>
        <w:pStyle w:val="ListBullet"/>
      </w:pPr>
      <w:r>
        <w:t>Review effective permissions and remove access promptly when responsibilities change.</w:t>
      </w:r>
    </w:p>
    <w:p>
      <w:pPr>
        <w:pStyle w:val="Heading2"/>
      </w:pPr>
      <w:r>
        <w:t>My profile</w:t>
      </w:r>
    </w:p>
    <w:p>
      <w:r>
        <w:t>Every authenticated user can maintain their full name, preferred name, work phone, and biography. Employment and access details remain read-only, and users can change their password after confirming the current one.</w:t>
      </w:r>
    </w:p>
    <w:tbl>
      <w:tblPr>
        <w:tblW w:type="auto" w:w="0"/>
        <w:jc w:val="center"/>
        <w:tblLayout w:type="fixed"/>
        <w:tblLook w:firstColumn="1" w:firstRow="1" w:lastColumn="0" w:lastRow="0" w:noHBand="0" w:noVBand="1" w:val="04A0"/>
      </w:tblPr>
      <w:tblGrid>
        <w:gridCol w:w="173"/>
        <w:gridCol w:w="9720"/>
      </w:tblGrid>
      <w:tr>
        <w:trPr/>
        <w:tc>
          <w:tcPr>
            <w:tcW w:type="dxa" w:w="5184"/>
            <w:shd w:fill="087F68"/>
            <w:tcMar>
              <w:top w:w="50" w:type="dxa"/>
              <w:start w:w="0" w:type="dxa"/>
              <w:bottom w:w="50" w:type="dxa"/>
              <w:end w:w="0" w:type="dxa"/>
            </w:tcMar>
          </w:tcPr>
          <w:p/>
        </w:tc>
        <w:tc>
          <w:tcPr>
            <w:tcW w:type="dxa" w:w="5184"/>
            <w:shd w:fill="DFF4EE"/>
            <w:tcMar>
              <w:top w:w="120" w:type="dxa"/>
              <w:start w:w="150" w:type="dxa"/>
              <w:bottom w:w="120" w:type="dxa"/>
              <w:end w:w="150" w:type="dxa"/>
            </w:tcMar>
          </w:tcPr>
          <w:p>
            <w:r>
              <w:rPr>
                <w:rFonts w:ascii="Aptos" w:hAnsi="Aptos"/>
                <w:b/>
                <w:color w:val="087F68"/>
                <w:sz w:val="19"/>
              </w:rPr>
              <w:t xml:space="preserve">Password rule.  </w:t>
            </w:r>
            <w:r>
              <w:rPr>
                <w:rFonts w:ascii="Aptos" w:hAnsi="Aptos"/>
                <w:b w:val="0"/>
                <w:color w:val="172033"/>
                <w:sz w:val="19"/>
              </w:rPr>
              <w:t>Use 12 to 100 characters. The new password must match confirmation and differ from the current password. The active session remains signed in after a successful change.</w:t>
            </w:r>
          </w:p>
        </w:tc>
      </w:tr>
    </w:tbl>
    <w:p>
      <w:pPr>
        <w:spacing w:before="100" w:after="60"/>
        <w:jc w:val="center"/>
      </w:pPr>
      <w:r>
        <w:drawing>
          <wp:inline xmlns:a="http://schemas.openxmlformats.org/drawingml/2006/main" xmlns:pic="http://schemas.openxmlformats.org/drawingml/2006/picture">
            <wp:extent cx="6263640" cy="5128355"/>
            <wp:docPr id="10" name="Picture 10" descr="My profile separates personal details, employment, access, security, and account activity." title="My profile separates personal details, employment, access, security, and account activity."/>
            <wp:cNvGraphicFramePr>
              <a:graphicFrameLocks noChangeAspect="1"/>
            </wp:cNvGraphicFramePr>
            <a:graphic>
              <a:graphicData uri="http://schemas.openxmlformats.org/drawingml/2006/picture">
                <pic:pic>
                  <pic:nvPicPr>
                    <pic:cNvPr id="0" name="10-profile.png"/>
                    <pic:cNvPicPr/>
                  </pic:nvPicPr>
                  <pic:blipFill>
                    <a:blip r:embed="rId17"/>
                    <a:stretch>
                      <a:fillRect/>
                    </a:stretch>
                  </pic:blipFill>
                  <pic:spPr>
                    <a:xfrm>
                      <a:off x="0" y="0"/>
                      <a:ext cx="6263640" cy="5128355"/>
                    </a:xfrm>
                    <a:prstGeom prst="rect"/>
                  </pic:spPr>
                </pic:pic>
              </a:graphicData>
            </a:graphic>
          </wp:inline>
        </w:drawing>
      </w:r>
    </w:p>
    <w:p>
      <w:pPr>
        <w:spacing w:after="140"/>
        <w:jc w:val="center"/>
      </w:pPr>
      <w:r>
        <w:rPr>
          <w:rFonts w:ascii="Aptos" w:hAnsi="Aptos"/>
          <w:b w:val="0"/>
          <w:color w:val="5F6B7A"/>
          <w:sz w:val="15"/>
        </w:rPr>
        <w:t>My profile separates personal details, employment, access, security, and account activity.</w:t>
      </w:r>
    </w:p>
    <w:p>
      <w:r>
        <w:br w:type="page"/>
      </w:r>
    </w:p>
    <w:p>
      <w:pPr>
        <w:spacing w:after="80"/>
      </w:pPr>
      <w:r>
        <w:rPr>
          <w:rFonts w:ascii="Aptos" w:hAnsi="Aptos"/>
          <w:b/>
          <w:color w:val="087F68"/>
          <w:sz w:val="16"/>
        </w:rPr>
        <w:t>CONTROL GUIDE</w:t>
      </w:r>
    </w:p>
    <w:p>
      <w:pPr>
        <w:pStyle w:val="Heading1"/>
      </w:pPr>
      <w:r>
        <w:t>Good operating practice</w:t>
      </w:r>
    </w:p>
    <w:tbl>
      <w:tblPr>
        <w:tblStyle w:val="TableGrid"/>
        <w:tblW w:type="auto" w:w="0"/>
        <w:jc w:val="center"/>
        <w:tblLayout w:type="fixed"/>
        <w:tblLook w:firstColumn="1" w:firstRow="1" w:lastColumn="0" w:lastRow="0" w:noHBand="0" w:noVBand="1" w:val="04A0"/>
      </w:tblPr>
      <w:tblGrid>
        <w:gridCol w:w="4824"/>
        <w:gridCol w:w="4968"/>
      </w:tblGrid>
      <w:tr>
        <w:trPr>
          <w:tblHeader w:val="true"/>
        </w:trPr>
        <w:tc>
          <w:tcPr>
            <w:tcW w:type="dxa" w:w="5184"/>
            <w:shd w:fill="0B1B2B"/>
          </w:tcPr>
          <w:p>
            <w:r>
              <w:rPr>
                <w:rFonts w:ascii="Aptos" w:hAnsi="Aptos"/>
                <w:b/>
                <w:color w:val="FFFFFF"/>
                <w:sz w:val="18"/>
              </w:rPr>
              <w:t>Situation</w:t>
            </w:r>
          </w:p>
        </w:tc>
        <w:tc>
          <w:tcPr>
            <w:tcW w:type="dxa" w:w="5184"/>
            <w:shd w:fill="0B1B2B"/>
          </w:tcPr>
          <w:p>
            <w:r>
              <w:rPr>
                <w:rFonts w:ascii="Aptos" w:hAnsi="Aptos"/>
                <w:b/>
                <w:color w:val="FFFFFF"/>
                <w:sz w:val="18"/>
              </w:rPr>
              <w:t>Expected practice</w:t>
            </w:r>
          </w:p>
        </w:tc>
      </w:tr>
      <w:tr>
        <w:tc>
          <w:tcPr>
            <w:tcW w:type="dxa" w:w="4824"/>
          </w:tcPr>
          <w:p>
            <w:r>
              <w:rPr>
                <w:rFonts w:ascii="Aptos" w:hAnsi="Aptos"/>
                <w:b/>
                <w:color w:val="0B1B2B"/>
                <w:sz w:val="18"/>
              </w:rPr>
              <w:t>Before posting</w:t>
            </w:r>
          </w:p>
        </w:tc>
        <w:tc>
          <w:tcPr>
            <w:tcW w:type="dxa" w:w="4968"/>
          </w:tcPr>
          <w:p>
            <w:r>
              <w:rPr>
                <w:rFonts w:ascii="Aptos" w:hAnsi="Aptos"/>
                <w:b w:val="0"/>
                <w:color w:val="172033"/>
                <w:sz w:val="18"/>
              </w:rPr>
              <w:t>Confirm user, site, location, item, unit, quantity, reason, and source reference.</w:t>
            </w:r>
          </w:p>
        </w:tc>
      </w:tr>
      <w:tr>
        <w:tc>
          <w:tcPr>
            <w:tcW w:type="dxa" w:w="4824"/>
          </w:tcPr>
          <w:p>
            <w:r>
              <w:rPr>
                <w:rFonts w:ascii="Aptos" w:hAnsi="Aptos"/>
                <w:b/>
                <w:color w:val="0B1B2B"/>
                <w:sz w:val="18"/>
              </w:rPr>
              <w:t>After posting</w:t>
            </w:r>
          </w:p>
        </w:tc>
        <w:tc>
          <w:tcPr>
            <w:tcW w:type="dxa" w:w="4968"/>
          </w:tcPr>
          <w:p>
            <w:r>
              <w:rPr>
                <w:rFonts w:ascii="Aptos" w:hAnsi="Aptos"/>
                <w:b w:val="0"/>
                <w:color w:val="172033"/>
                <w:sz w:val="18"/>
              </w:rPr>
              <w:t>Read the success message, open the new record, and verify the resulting balance or status.</w:t>
            </w:r>
          </w:p>
        </w:tc>
      </w:tr>
      <w:tr>
        <w:tc>
          <w:tcPr>
            <w:tcW w:type="dxa" w:w="4824"/>
          </w:tcPr>
          <w:p>
            <w:r>
              <w:rPr>
                <w:rFonts w:ascii="Aptos" w:hAnsi="Aptos"/>
                <w:b/>
                <w:color w:val="0B1B2B"/>
                <w:sz w:val="18"/>
              </w:rPr>
              <w:t>When data conflicts</w:t>
            </w:r>
          </w:p>
        </w:tc>
        <w:tc>
          <w:tcPr>
            <w:tcW w:type="dxa" w:w="4968"/>
          </w:tcPr>
          <w:p>
            <w:r>
              <w:rPr>
                <w:rFonts w:ascii="Aptos" w:hAnsi="Aptos"/>
                <w:b w:val="0"/>
                <w:color w:val="172033"/>
                <w:sz w:val="18"/>
              </w:rPr>
              <w:t>Refresh and re-open the record. Optimistic version checks prevent silent overwrites.</w:t>
            </w:r>
          </w:p>
        </w:tc>
      </w:tr>
      <w:tr>
        <w:tc>
          <w:tcPr>
            <w:tcW w:type="dxa" w:w="4824"/>
          </w:tcPr>
          <w:p>
            <w:r>
              <w:rPr>
                <w:rFonts w:ascii="Aptos" w:hAnsi="Aptos"/>
                <w:b/>
                <w:color w:val="0B1B2B"/>
                <w:sz w:val="18"/>
              </w:rPr>
              <w:t>When stock differs</w:t>
            </w:r>
          </w:p>
        </w:tc>
        <w:tc>
          <w:tcPr>
            <w:tcW w:type="dxa" w:w="4968"/>
          </w:tcPr>
          <w:p>
            <w:r>
              <w:rPr>
                <w:rFonts w:ascii="Aptos" w:hAnsi="Aptos"/>
                <w:b w:val="0"/>
                <w:color w:val="172033"/>
                <w:sz w:val="18"/>
              </w:rPr>
              <w:t>Use the count and review workflow; do not force the balance through an unexplained adjustment.</w:t>
            </w:r>
          </w:p>
        </w:tc>
      </w:tr>
      <w:tr>
        <w:tc>
          <w:tcPr>
            <w:tcW w:type="dxa" w:w="4824"/>
          </w:tcPr>
          <w:p>
            <w:r>
              <w:rPr>
                <w:rFonts w:ascii="Aptos" w:hAnsi="Aptos"/>
                <w:b/>
                <w:color w:val="0B1B2B"/>
                <w:sz w:val="18"/>
              </w:rPr>
              <w:t>When a transfer differs</w:t>
            </w:r>
          </w:p>
        </w:tc>
        <w:tc>
          <w:tcPr>
            <w:tcW w:type="dxa" w:w="4968"/>
          </w:tcPr>
          <w:p>
            <w:r>
              <w:rPr>
                <w:rFonts w:ascii="Aptos" w:hAnsi="Aptos"/>
                <w:b w:val="0"/>
                <w:color w:val="172033"/>
                <w:sz w:val="18"/>
              </w:rPr>
              <w:t>Record the received reality and investigate the visible discrepancy.</w:t>
            </w:r>
          </w:p>
        </w:tc>
      </w:tr>
      <w:tr>
        <w:tc>
          <w:tcPr>
            <w:tcW w:type="dxa" w:w="4824"/>
          </w:tcPr>
          <w:p>
            <w:r>
              <w:rPr>
                <w:rFonts w:ascii="Aptos" w:hAnsi="Aptos"/>
                <w:b/>
                <w:color w:val="0B1B2B"/>
                <w:sz w:val="18"/>
              </w:rPr>
              <w:t>When access is wrong</w:t>
            </w:r>
          </w:p>
        </w:tc>
        <w:tc>
          <w:tcPr>
            <w:tcW w:type="dxa" w:w="4968"/>
          </w:tcPr>
          <w:p>
            <w:r>
              <w:rPr>
                <w:rFonts w:ascii="Aptos" w:hAnsi="Aptos"/>
                <w:b w:val="0"/>
                <w:color w:val="172033"/>
                <w:sz w:val="18"/>
              </w:rPr>
              <w:t>Stop the transaction and ask an administrator to correct role or site scope.</w:t>
            </w:r>
          </w:p>
        </w:tc>
      </w:tr>
      <w:tr>
        <w:tc>
          <w:tcPr>
            <w:tcW w:type="dxa" w:w="4824"/>
          </w:tcPr>
          <w:p>
            <w:r>
              <w:rPr>
                <w:rFonts w:ascii="Aptos" w:hAnsi="Aptos"/>
                <w:b/>
                <w:color w:val="0B1B2B"/>
                <w:sz w:val="18"/>
              </w:rPr>
              <w:t>For audit review</w:t>
            </w:r>
          </w:p>
        </w:tc>
        <w:tc>
          <w:tcPr>
            <w:tcW w:type="dxa" w:w="4968"/>
          </w:tcPr>
          <w:p>
            <w:r>
              <w:rPr>
                <w:rFonts w:ascii="Aptos" w:hAnsi="Aptos"/>
                <w:b w:val="0"/>
                <w:color w:val="172033"/>
                <w:sz w:val="18"/>
              </w:rPr>
              <w:t>Start with the source record, then trace the movement, workflow history, actor, time, and audit event.</w:t>
            </w:r>
          </w:p>
        </w:tc>
      </w:tr>
    </w:tbl>
    <w:p>
      <w:pPr>
        <w:pStyle w:val="Heading2"/>
      </w:pPr>
      <w:r>
        <w:t>Production controls to confirm</w:t>
      </w:r>
    </w:p>
    <w:p>
      <w:pPr>
        <w:pStyle w:val="ListBullet"/>
      </w:pPr>
      <w:r>
        <w:t>Legal entities, physical sites, warehouse and location hierarchy, and stock ownership.</w:t>
      </w:r>
    </w:p>
    <w:p>
      <w:pPr>
        <w:pStyle w:val="ListBullet"/>
      </w:pPr>
      <w:r>
        <w:t>Approval thresholds, segregation of duties, delegated authority, and emergency access.</w:t>
      </w:r>
    </w:p>
    <w:p>
      <w:pPr>
        <w:pStyle w:val="ListBullet"/>
      </w:pPr>
      <w:r>
        <w:t>Units, valuation, cutoff, opening balances, finance reconciliation, and retention.</w:t>
      </w:r>
    </w:p>
    <w:p>
      <w:pPr>
        <w:pStyle w:val="ListBullet"/>
      </w:pPr>
      <w:r>
        <w:t>Evidence attachments, audit export formats, backups, recovery, and access reviews.</w:t>
      </w:r>
    </w:p>
    <w:p>
      <w:r>
        <w:br w:type="page"/>
      </w:r>
    </w:p>
    <w:p>
      <w:pPr>
        <w:spacing w:after="80"/>
      </w:pPr>
      <w:r>
        <w:rPr>
          <w:rFonts w:ascii="Aptos" w:hAnsi="Aptos"/>
          <w:b/>
          <w:color w:val="087F68"/>
          <w:sz w:val="16"/>
        </w:rPr>
        <w:t>HELP</w:t>
      </w:r>
    </w:p>
    <w:p>
      <w:pPr>
        <w:pStyle w:val="Heading1"/>
      </w:pPr>
      <w:r>
        <w:t>Troubleshooting and quick reference</w:t>
      </w:r>
    </w:p>
    <w:tbl>
      <w:tblPr>
        <w:tblStyle w:val="TableGrid"/>
        <w:tblW w:type="auto" w:w="0"/>
        <w:jc w:val="center"/>
        <w:tblLayout w:type="fixed"/>
        <w:tblLook w:firstColumn="1" w:firstRow="1" w:lastColumn="0" w:lastRow="0" w:noHBand="0" w:noVBand="1" w:val="04A0"/>
      </w:tblPr>
      <w:tblGrid>
        <w:gridCol w:w="4824"/>
        <w:gridCol w:w="4968"/>
      </w:tblGrid>
      <w:tr>
        <w:trPr>
          <w:tblHeader w:val="true"/>
        </w:trPr>
        <w:tc>
          <w:tcPr>
            <w:tcW w:type="dxa" w:w="5184"/>
            <w:shd w:fill="0B1B2B"/>
          </w:tcPr>
          <w:p>
            <w:r>
              <w:rPr>
                <w:rFonts w:ascii="Aptos" w:hAnsi="Aptos"/>
                <w:b/>
                <w:color w:val="FFFFFF"/>
                <w:sz w:val="18"/>
              </w:rPr>
              <w:t>What you see</w:t>
            </w:r>
          </w:p>
        </w:tc>
        <w:tc>
          <w:tcPr>
            <w:tcW w:type="dxa" w:w="5184"/>
            <w:shd w:fill="0B1B2B"/>
          </w:tcPr>
          <w:p>
            <w:r>
              <w:rPr>
                <w:rFonts w:ascii="Aptos" w:hAnsi="Aptos"/>
                <w:b/>
                <w:color w:val="FFFFFF"/>
                <w:sz w:val="18"/>
              </w:rPr>
              <w:t>What to do</w:t>
            </w:r>
          </w:p>
        </w:tc>
      </w:tr>
      <w:tr>
        <w:tc>
          <w:tcPr>
            <w:tcW w:type="dxa" w:w="4824"/>
          </w:tcPr>
          <w:p>
            <w:r>
              <w:rPr>
                <w:rFonts w:ascii="Aptos" w:hAnsi="Aptos"/>
                <w:b/>
                <w:color w:val="0B1B2B"/>
                <w:sz w:val="18"/>
              </w:rPr>
              <w:t>The page says you lack permission</w:t>
            </w:r>
          </w:p>
        </w:tc>
        <w:tc>
          <w:tcPr>
            <w:tcW w:type="dxa" w:w="4968"/>
          </w:tcPr>
          <w:p>
            <w:r>
              <w:rPr>
                <w:rFonts w:ascii="Aptos" w:hAnsi="Aptos"/>
                <w:b w:val="0"/>
                <w:color w:val="172033"/>
                <w:sz w:val="18"/>
              </w:rPr>
              <w:t>Confirm the signed-in persona, site scope, role, and account status.</w:t>
            </w:r>
          </w:p>
        </w:tc>
      </w:tr>
      <w:tr>
        <w:tc>
          <w:tcPr>
            <w:tcW w:type="dxa" w:w="4824"/>
          </w:tcPr>
          <w:p>
            <w:r>
              <w:rPr>
                <w:rFonts w:ascii="Aptos" w:hAnsi="Aptos"/>
                <w:b/>
                <w:color w:val="0B1B2B"/>
                <w:sz w:val="18"/>
              </w:rPr>
              <w:t>The record changed while you were editing</w:t>
            </w:r>
          </w:p>
        </w:tc>
        <w:tc>
          <w:tcPr>
            <w:tcW w:type="dxa" w:w="4968"/>
          </w:tcPr>
          <w:p>
            <w:r>
              <w:rPr>
                <w:rFonts w:ascii="Aptos" w:hAnsi="Aptos"/>
                <w:b w:val="0"/>
                <w:color w:val="172033"/>
                <w:sz w:val="18"/>
              </w:rPr>
              <w:t>Reload the latest version, compare changes, and reapply only valid updates.</w:t>
            </w:r>
          </w:p>
        </w:tc>
      </w:tr>
      <w:tr>
        <w:tc>
          <w:tcPr>
            <w:tcW w:type="dxa" w:w="4824"/>
          </w:tcPr>
          <w:p>
            <w:r>
              <w:rPr>
                <w:rFonts w:ascii="Aptos" w:hAnsi="Aptos"/>
                <w:b/>
                <w:color w:val="0B1B2B"/>
                <w:sz w:val="18"/>
              </w:rPr>
              <w:t>Available stock is lower than expected</w:t>
            </w:r>
          </w:p>
        </w:tc>
        <w:tc>
          <w:tcPr>
            <w:tcW w:type="dxa" w:w="4968"/>
          </w:tcPr>
          <w:p>
            <w:r>
              <w:rPr>
                <w:rFonts w:ascii="Aptos" w:hAnsi="Aptos"/>
                <w:b w:val="0"/>
                <w:color w:val="172033"/>
                <w:sz w:val="18"/>
              </w:rPr>
              <w:t>Review site, location, open transfers, recent issues, and movement history.</w:t>
            </w:r>
          </w:p>
        </w:tc>
      </w:tr>
      <w:tr>
        <w:tc>
          <w:tcPr>
            <w:tcW w:type="dxa" w:w="4824"/>
          </w:tcPr>
          <w:p>
            <w:r>
              <w:rPr>
                <w:rFonts w:ascii="Aptos" w:hAnsi="Aptos"/>
                <w:b/>
                <w:color w:val="0B1B2B"/>
                <w:sz w:val="18"/>
              </w:rPr>
              <w:t>A workflow action is missing</w:t>
            </w:r>
          </w:p>
        </w:tc>
        <w:tc>
          <w:tcPr>
            <w:tcW w:type="dxa" w:w="4968"/>
          </w:tcPr>
          <w:p>
            <w:r>
              <w:rPr>
                <w:rFonts w:ascii="Aptos" w:hAnsi="Aptos"/>
                <w:b w:val="0"/>
                <w:color w:val="172033"/>
                <w:sz w:val="18"/>
              </w:rPr>
              <w:t>Check its current state and your permission. Actions appear only when valid.</w:t>
            </w:r>
          </w:p>
        </w:tc>
      </w:tr>
      <w:tr>
        <w:tc>
          <w:tcPr>
            <w:tcW w:type="dxa" w:w="4824"/>
          </w:tcPr>
          <w:p>
            <w:r>
              <w:rPr>
                <w:rFonts w:ascii="Aptos" w:hAnsi="Aptos"/>
                <w:b/>
                <w:color w:val="0B1B2B"/>
                <w:sz w:val="18"/>
              </w:rPr>
              <w:t>Demo changes disappeared</w:t>
            </w:r>
          </w:p>
        </w:tc>
        <w:tc>
          <w:tcPr>
            <w:tcW w:type="dxa" w:w="4968"/>
          </w:tcPr>
          <w:p>
            <w:r>
              <w:rPr>
                <w:rFonts w:ascii="Aptos" w:hAnsi="Aptos"/>
                <w:b w:val="0"/>
                <w:color w:val="172033"/>
                <w:sz w:val="18"/>
              </w:rPr>
              <w:t>The demonstration is session-backed. Sign-in resets and new sessions may start from fixtures.</w:t>
            </w:r>
          </w:p>
        </w:tc>
      </w:tr>
      <w:tr>
        <w:tc>
          <w:tcPr>
            <w:tcW w:type="dxa" w:w="4824"/>
          </w:tcPr>
          <w:p>
            <w:r>
              <w:rPr>
                <w:rFonts w:ascii="Aptos" w:hAnsi="Aptos"/>
                <w:b/>
                <w:color w:val="0B1B2B"/>
                <w:sz w:val="18"/>
              </w:rPr>
              <w:t>A code field is not editable</w:t>
            </w:r>
          </w:p>
        </w:tc>
        <w:tc>
          <w:tcPr>
            <w:tcW w:type="dxa" w:w="4968"/>
          </w:tcPr>
          <w:p>
            <w:r>
              <w:rPr>
                <w:rFonts w:ascii="Aptos" w:hAnsi="Aptos"/>
                <w:b w:val="0"/>
                <w:color w:val="172033"/>
                <w:sz w:val="18"/>
              </w:rPr>
              <w:t>The portal generates controlled identifiers for supported records.</w:t>
            </w:r>
          </w:p>
        </w:tc>
      </w:tr>
      <w:tr>
        <w:tc>
          <w:tcPr>
            <w:tcW w:type="dxa" w:w="4824"/>
          </w:tcPr>
          <w:p>
            <w:r>
              <w:rPr>
                <w:rFonts w:ascii="Aptos" w:hAnsi="Aptos"/>
                <w:b/>
                <w:color w:val="0B1B2B"/>
                <w:sz w:val="18"/>
              </w:rPr>
              <w:t>You need production evidence</w:t>
            </w:r>
          </w:p>
        </w:tc>
        <w:tc>
          <w:tcPr>
            <w:tcW w:type="dxa" w:w="4968"/>
          </w:tcPr>
          <w:p>
            <w:r>
              <w:rPr>
                <w:rFonts w:ascii="Aptos" w:hAnsi="Aptos"/>
                <w:b w:val="0"/>
                <w:color w:val="172033"/>
                <w:sz w:val="18"/>
              </w:rPr>
              <w:t>Agree the source, retention, attachment, export, and sign-off requirements before go-live.</w:t>
            </w:r>
          </w:p>
        </w:tc>
      </w:tr>
    </w:tbl>
    <w:tbl>
      <w:tblPr>
        <w:tblW w:type="auto" w:w="0"/>
        <w:jc w:val="center"/>
        <w:tblLayout w:type="fixed"/>
        <w:tblLook w:firstColumn="1" w:firstRow="1" w:lastColumn="0" w:lastRow="0" w:noHBand="0" w:noVBand="1" w:val="04A0"/>
      </w:tblPr>
      <w:tblGrid>
        <w:gridCol w:w="173"/>
        <w:gridCol w:w="9720"/>
      </w:tblGrid>
      <w:tr>
        <w:trPr/>
        <w:tc>
          <w:tcPr>
            <w:tcW w:type="dxa" w:w="5184"/>
            <w:shd w:fill="087F68"/>
            <w:tcMar>
              <w:top w:w="50" w:type="dxa"/>
              <w:start w:w="0" w:type="dxa"/>
              <w:bottom w:w="50" w:type="dxa"/>
              <w:end w:w="0" w:type="dxa"/>
            </w:tcMar>
          </w:tcPr>
          <w:p/>
        </w:tc>
        <w:tc>
          <w:tcPr>
            <w:tcW w:type="dxa" w:w="5184"/>
            <w:shd w:fill="DFF4EE"/>
            <w:tcMar>
              <w:top w:w="120" w:type="dxa"/>
              <w:start w:w="150" w:type="dxa"/>
              <w:bottom w:w="120" w:type="dxa"/>
              <w:end w:w="150" w:type="dxa"/>
            </w:tcMar>
          </w:tcPr>
          <w:p>
            <w:r>
              <w:rPr>
                <w:rFonts w:ascii="Aptos" w:hAnsi="Aptos"/>
                <w:b/>
                <w:color w:val="087F68"/>
                <w:sz w:val="19"/>
              </w:rPr>
              <w:t xml:space="preserve">Remember.  </w:t>
            </w:r>
            <w:r>
              <w:rPr>
                <w:rFonts w:ascii="Aptos" w:hAnsi="Aptos"/>
                <w:b w:val="0"/>
                <w:color w:val="172033"/>
                <w:sz w:val="19"/>
              </w:rPr>
              <w:t>Use the process that best represents what physically happened. Clear reasons and references make the system trustworthy.</w:t>
            </w:r>
          </w:p>
        </w:tc>
      </w:tr>
    </w:tbl>
    <w:p>
      <w:pPr>
        <w:spacing w:before="240"/>
        <w:jc w:val="center"/>
      </w:pPr>
      <w:r>
        <w:rPr>
          <w:rFonts w:ascii="Aptos" w:hAnsi="Aptos"/>
          <w:b/>
          <w:color w:val="0B1B2B"/>
          <w:sz w:val="22"/>
        </w:rPr>
        <w:t>Prepared by Valo Systems for Phatsema</w:t>
      </w:r>
      <w:r>
        <w:br/>
      </w:r>
      <w:hyperlink r:id="rId18">
        <w:r>
          <w:rPr>
            <w:color w:val="1779A9"/>
            <w:u w:val="single"/>
          </w:rPr>
          <w:t>Open the demonstration portal</w:t>
        </w:r>
      </w:hyperlink>
    </w:p>
    <w:sectPr w:rsidR="00FC693F" w:rsidRPr="0006063C" w:rsidSect="00034616">
      <w:headerReference w:type="default" r:id="rId19"/>
      <w:footerReference w:type="default" r:id="rId2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2160"/>
    </w:tblGrid>
    <w:tr>
      <w:tc>
        <w:tcPr>
          <w:tcW w:type="dxa" w:w="5112"/>
        </w:tcPr>
        <w:p>
          <w:r>
            <w:rPr>
              <w:rFonts w:ascii="Aptos" w:hAnsi="Aptos"/>
              <w:b w:val="0"/>
              <w:color w:val="5F6B7A"/>
              <w:sz w:val="15"/>
            </w:rPr>
            <w:t>Prepared by Valo Systems  |  Demonstration edition  |  July 2026</w:t>
          </w:r>
        </w:p>
      </w:tc>
      <w:tc>
        <w:tcPr>
          <w:tcW w:type="dxa" w:w="5112"/>
        </w:tcPr>
        <w:p>
          <w:pPr>
            <w:jc w:val="right"/>
          </w:pPr>
          <w:r>
            <w:rPr>
              <w:color w:val="5F6B7A"/>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8208"/>
      <w:gridCol w:w="2016"/>
    </w:tblGrid>
    <w:tr>
      <w:tc>
        <w:tcPr>
          <w:tcW w:type="dxa" w:w="8208"/>
        </w:tcPr>
        <w:p>
          <w:r>
            <w:rPr>
              <w:rFonts w:ascii="Aptos" w:hAnsi="Aptos"/>
              <w:b/>
              <w:color w:val="5F6B7A"/>
              <w:sz w:val="15"/>
            </w:rPr>
            <w:t>PHATSEMA BACK-OFFICE PORTAL | USER MANUAL</w:t>
          </w:r>
        </w:p>
      </w:tc>
      <w:tc>
        <w:tcPr>
          <w:tcW w:type="dxa" w:w="2016"/>
        </w:tcPr>
        <w:p>
          <w:pPr>
            <w:jc w:val="right"/>
          </w:pPr>
          <w:r>
            <w:drawing>
              <wp:inline xmlns:a="http://schemas.openxmlformats.org/drawingml/2006/main" xmlns:pic="http://schemas.openxmlformats.org/drawingml/2006/picture">
                <wp:extent cx="201168" cy="213663"/>
                <wp:docPr id="1" name="Picture 1" descr="Phatsema brand mark" title="Phatsema brand mark"/>
                <wp:cNvGraphicFramePr>
                  <a:graphicFrameLocks noChangeAspect="1"/>
                </wp:cNvGraphicFramePr>
                <a:graphic>
                  <a:graphicData uri="http://schemas.openxmlformats.org/drawingml/2006/picture">
                    <pic:pic>
                      <pic:nvPicPr>
                        <pic:cNvPr id="0" name="logo-mark-color.png"/>
                        <pic:cNvPicPr/>
                      </pic:nvPicPr>
                      <pic:blipFill>
                        <a:blip r:embed="rId1"/>
                        <a:stretch>
                          <a:fillRect/>
                        </a:stretch>
                      </pic:blipFill>
                      <pic:spPr>
                        <a:xfrm>
                          <a:off x="0" y="0"/>
                          <a:ext cx="201168" cy="213663"/>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B1B2B"/>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F6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228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B1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F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02"/>
      <w:contextualSpacing/>
    </w:pPr>
    <w:rPr>
      <w:rFonts w:ascii="Aptos" w:hAnsi="Aptos"/>
      <w:color w:val="172033"/>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202"/>
      <w:contextualSpacing/>
    </w:pPr>
    <w:rPr>
      <w:rFonts w:ascii="Aptos" w:hAnsi="Aptos"/>
      <w:color w:val="172033"/>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00"/>
      <w:ind w:left="317"/>
    </w:pPr>
    <w:rPr>
      <w:rFonts w:ascii="Aptos" w:hAnsi="Aptos"/>
      <w:i w:val="0"/>
      <w:iCs/>
      <w:color w:val="0B1B2B"/>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phatsema.valosystems.co.za" TargetMode="External"/><Relationship Id="rId19" Type="http://schemas.openxmlformats.org/officeDocument/2006/relationships/header" Target="header1.xml"/><Relationship Id="rId2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Phatsema Back-Office Portal | User Manual</dc:title>
  <dc:subject>Task-oriented guidance for the Phatsema multi-site inventory demonstration portal.</dc:subject>
  <dc:creator>Valo Systems</dc:creator>
  <cp:keywords>Phatsema, inventory, back-office, multi-site, audit, Valo Systems</cp:keywords>
  <dc:description>Prepared for Phatsema by Valo Systems.</dc:description>
  <cp:lastModifiedBy>Valo Systems</cp:lastModifiedBy>
  <cp:revision>1</cp:revision>
  <dcterms:created xsi:type="dcterms:W3CDTF">2013-12-23T23:15:00Z</dcterms:created>
  <dcterms:modified xsi:type="dcterms:W3CDTF">2013-12-23T23:15:00Z</dcterms:modified>
  <cp:category/>
</cp:coreProperties>
</file>