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320"/>
        <w:jc w:val="center"/>
      </w:pPr>
      <w:r>
        <w:drawing>
          <wp:inline xmlns:a="http://schemas.openxmlformats.org/drawingml/2006/main" xmlns:pic="http://schemas.openxmlformats.org/drawingml/2006/picture">
            <wp:extent cx="3108960" cy="1016950"/>
            <wp:docPr id="1" name="Picture 1" descr="Phatsema Projects and Supplies logo" title="Phatsema Projects and Supplies logo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-full-color-transparen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108960" cy="10169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rFonts w:ascii="Aptos" w:hAnsi="Aptos"/>
          <w:b/>
          <w:color w:val="1779A9"/>
          <w:sz w:val="16"/>
        </w:rPr>
        <w:t>SYSTEM BROCHURE</w:t>
      </w:r>
    </w:p>
    <w:p>
      <w:pPr>
        <w:pStyle w:val="Title"/>
        <w:jc w:val="center"/>
      </w:pPr>
      <w:r>
        <w:t>Phatsema Back-Office Portal</w:t>
      </w:r>
    </w:p>
    <w:p>
      <w:pPr>
        <w:spacing w:after="280"/>
        <w:jc w:val="center"/>
      </w:pPr>
      <w:r>
        <w:rPr>
          <w:rFonts w:ascii="Aptos" w:hAnsi="Aptos"/>
          <w:b/>
          <w:color w:val="087F68"/>
          <w:sz w:val="34"/>
        </w:rPr>
        <w:t>Smarter inventory. Stronger operations.</w:t>
      </w:r>
    </w:p>
    <w:p>
      <w:pPr>
        <w:ind w:left="792" w:right="792"/>
        <w:jc w:val="center"/>
      </w:pPr>
      <w:r>
        <w:rPr>
          <w:rFonts w:ascii="Aptos" w:hAnsi="Aptos"/>
          <w:b w:val="0"/>
          <w:color w:val="5F6B7A"/>
          <w:sz w:val="23"/>
        </w:rPr>
        <w:t>A focused, modern portal for controlling inventory, transfers, stock counts, assets, reporting, and audit evidence across multiple operating sites.</w:t>
      </w:r>
    </w:p>
    <w:p>
      <w:pPr>
        <w:spacing w:before="160"/>
        <w:jc w:val="center"/>
      </w:pPr>
      <w:r>
        <w:drawing>
          <wp:inline xmlns:a="http://schemas.openxmlformats.org/drawingml/2006/main" xmlns:pic="http://schemas.openxmlformats.org/drawingml/2006/picture">
            <wp:extent cx="6355080" cy="3576633"/>
            <wp:docPr id="2" name="Picture 2" descr="Dark industrial warehouse with pallet racking" title="Dark industrial warehouse with pallet racki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arehouse-hero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55080" cy="35766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80"/>
        <w:jc w:val="center"/>
      </w:pPr>
      <w:r>
        <w:rPr>
          <w:rFonts w:ascii="Aptos" w:hAnsi="Aptos"/>
          <w:b/>
          <w:color w:val="0B1B2B"/>
          <w:sz w:val="20"/>
        </w:rPr>
        <w:t>Prepared by Valo Systems</w:t>
      </w:r>
      <w:r>
        <w:br/>
      </w:r>
      <w:r>
        <w:rPr>
          <w:rFonts w:ascii="Aptos" w:hAnsi="Aptos"/>
          <w:b w:val="0"/>
          <w:color w:val="5F6B7A"/>
          <w:sz w:val="17"/>
        </w:rPr>
        <w:t>Demonstration edition  |  July 2026</w:t>
      </w:r>
    </w:p>
    <w:p>
      <w:r>
        <w:br w:type="page"/>
      </w:r>
    </w:p>
    <w:p>
      <w:pPr>
        <w:spacing w:after="80"/>
      </w:pPr>
      <w:r>
        <w:rPr>
          <w:rFonts w:ascii="Aptos" w:hAnsi="Aptos"/>
          <w:b/>
          <w:color w:val="087F68"/>
          <w:sz w:val="16"/>
        </w:rPr>
        <w:t>ONE NETWORK. ONE OPERATIONAL VIEW.</w:t>
      </w:r>
    </w:p>
    <w:p>
      <w:pPr>
        <w:pStyle w:val="Heading1"/>
      </w:pPr>
      <w:r>
        <w:t>See what is on hand, where it is, and who changed it</w:t>
      </w:r>
    </w:p>
    <w:p>
      <w:r>
        <w:t>Phatsema’s operations span locations, materials, machinery, projects, and people. The portal brings these activities into one simple operating view so teams can act quickly without losing accountability.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5256"/>
            <w:shd w:fill="F3F6F8"/>
            <w:tcMar>
              <w:top w:w="130" w:type="dxa"/>
              <w:start w:w="150" w:type="dxa"/>
              <w:bottom w:w="130" w:type="dxa"/>
              <w:end w:w="150" w:type="dxa"/>
            </w:tcMar>
            <w:vAlign w:val="center"/>
          </w:tcPr>
          <w:p>
            <w:r>
              <w:rPr>
                <w:rFonts w:ascii="Aptos" w:hAnsi="Aptos"/>
                <w:b/>
                <w:color w:val="0B1B2B"/>
                <w:sz w:val="21"/>
              </w:rPr>
              <w:t>Multi-site visibility</w:t>
            </w:r>
          </w:p>
          <w:p>
            <w:r>
              <w:rPr>
                <w:rFonts w:ascii="Aptos" w:hAnsi="Aptos"/>
                <w:b w:val="0"/>
                <w:color w:val="5F6B7A"/>
                <w:sz w:val="18"/>
              </w:rPr>
              <w:t>View stock, assets, risks, and activity across permitted sites.</w:t>
            </w:r>
          </w:p>
        </w:tc>
        <w:tc>
          <w:tcPr>
            <w:tcW w:type="dxa" w:w="5256"/>
            <w:shd w:fill="F3F6F8"/>
            <w:tcMar>
              <w:top w:w="130" w:type="dxa"/>
              <w:start w:w="150" w:type="dxa"/>
              <w:bottom w:w="130" w:type="dxa"/>
              <w:end w:w="150" w:type="dxa"/>
            </w:tcMar>
            <w:vAlign w:val="center"/>
          </w:tcPr>
          <w:p>
            <w:r>
              <w:rPr>
                <w:rFonts w:ascii="Aptos" w:hAnsi="Aptos"/>
                <w:b/>
                <w:color w:val="0B1B2B"/>
                <w:sz w:val="21"/>
              </w:rPr>
              <w:t>Operational control</w:t>
            </w:r>
          </w:p>
          <w:p>
            <w:r>
              <w:rPr>
                <w:rFonts w:ascii="Aptos" w:hAnsi="Aptos"/>
                <w:b w:val="0"/>
                <w:color w:val="5F6B7A"/>
                <w:sz w:val="18"/>
              </w:rPr>
              <w:t>Run receipts, issues, adjustments, transfers, and counts through clear workflows.</w:t>
            </w:r>
          </w:p>
        </w:tc>
      </w:tr>
      <w:tr>
        <w:tc>
          <w:tcPr>
            <w:tcW w:type="dxa" w:w="5256"/>
            <w:shd w:fill="F3F6F8"/>
            <w:tcMar>
              <w:top w:w="130" w:type="dxa"/>
              <w:start w:w="150" w:type="dxa"/>
              <w:bottom w:w="130" w:type="dxa"/>
              <w:end w:w="150" w:type="dxa"/>
            </w:tcMar>
            <w:vAlign w:val="center"/>
          </w:tcPr>
          <w:p>
            <w:r>
              <w:rPr>
                <w:rFonts w:ascii="Aptos" w:hAnsi="Aptos"/>
                <w:b/>
                <w:color w:val="0B1B2B"/>
                <w:sz w:val="21"/>
              </w:rPr>
              <w:t>Reliable history</w:t>
            </w:r>
          </w:p>
          <w:p>
            <w:r>
              <w:rPr>
                <w:rFonts w:ascii="Aptos" w:hAnsi="Aptos"/>
                <w:b w:val="0"/>
                <w:color w:val="5F6B7A"/>
                <w:sz w:val="18"/>
              </w:rPr>
              <w:t>Build each balance from an immutable movement ledger with actor and time context.</w:t>
            </w:r>
          </w:p>
        </w:tc>
        <w:tc>
          <w:tcPr>
            <w:tcW w:type="dxa" w:w="5256"/>
            <w:shd w:fill="F3F6F8"/>
            <w:tcMar>
              <w:top w:w="130" w:type="dxa"/>
              <w:start w:w="150" w:type="dxa"/>
              <w:bottom w:w="130" w:type="dxa"/>
              <w:end w:w="150" w:type="dxa"/>
            </w:tcMar>
            <w:vAlign w:val="center"/>
          </w:tcPr>
          <w:p>
            <w:r>
              <w:rPr>
                <w:rFonts w:ascii="Aptos" w:hAnsi="Aptos"/>
                <w:b/>
                <w:color w:val="0B1B2B"/>
                <w:sz w:val="21"/>
              </w:rPr>
              <w:t>Simple by design</w:t>
            </w:r>
          </w:p>
          <w:p>
            <w:r>
              <w:rPr>
                <w:rFonts w:ascii="Aptos" w:hAnsi="Aptos"/>
                <w:b w:val="0"/>
                <w:color w:val="5F6B7A"/>
                <w:sz w:val="18"/>
              </w:rPr>
              <w:t>Use clear pages, guided forms, generated reference codes, and role-aware actions.</w:t>
            </w:r>
          </w:p>
        </w:tc>
      </w:tr>
    </w:tbl>
    <w:p>
      <w:pPr>
        <w:spacing w:before="100" w:after="60"/>
        <w:jc w:val="center"/>
      </w:pPr>
      <w:r>
        <w:drawing>
          <wp:inline xmlns:a="http://schemas.openxmlformats.org/drawingml/2006/main" xmlns:pic="http://schemas.openxmlformats.org/drawingml/2006/picture">
            <wp:extent cx="5806440" cy="4806442"/>
            <wp:docPr id="3" name="Picture 3" descr="The operations dashboard brings stock value, health, sites, transfers, and recent activity together." title="The operations dashboard brings stock value, health, sites, transfers, and recent activity together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dashboar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48064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Aptos" w:hAnsi="Aptos"/>
          <w:b w:val="0"/>
          <w:color w:val="5F6B7A"/>
          <w:sz w:val="15"/>
        </w:rPr>
        <w:t>The operations dashboard brings stock value, health, sites, transfers, and recent activity together.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3"/>
        <w:gridCol w:w="9720"/>
      </w:tblGrid>
      <w:tr>
        <w:trPr/>
        <w:tc>
          <w:tcPr>
            <w:tcW w:type="dxa" w:w="5256"/>
            <w:shd w:fill="1779A9"/>
            <w:tcMar>
              <w:top w:w="50" w:type="dxa"/>
              <w:start w:w="0" w:type="dxa"/>
              <w:bottom w:w="50" w:type="dxa"/>
              <w:end w:w="0" w:type="dxa"/>
            </w:tcMar>
          </w:tcPr>
          <w:p/>
        </w:tc>
        <w:tc>
          <w:tcPr>
            <w:tcW w:type="dxa" w:w="5256"/>
            <w:shd w:fill="E9F1F7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r>
              <w:rPr>
                <w:rFonts w:ascii="Aptos" w:hAnsi="Aptos"/>
                <w:b/>
                <w:color w:val="1779A9"/>
                <w:sz w:val="19"/>
              </w:rPr>
              <w:t xml:space="preserve">Designed for confidence.  </w:t>
            </w:r>
            <w:r>
              <w:rPr>
                <w:rFonts w:ascii="Aptos" w:hAnsi="Aptos"/>
                <w:b w:val="0"/>
                <w:color w:val="172033"/>
                <w:sz w:val="19"/>
              </w:rPr>
              <w:t>Every action should be easy to perform, easy to explain, and easy to review.</w:t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ptos" w:hAnsi="Aptos"/>
          <w:b/>
          <w:color w:val="087F68"/>
          <w:sz w:val="16"/>
        </w:rPr>
        <w:t>A COMPLETE FIRST-VERSION PLATFORM</w:t>
      </w:r>
    </w:p>
    <w:p>
      <w:pPr>
        <w:pStyle w:val="Heading1"/>
      </w:pPr>
      <w:r>
        <w:t>The daily tools operations teams need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5256"/>
            <w:shd w:fill="F3F6F8"/>
            <w:tcMar>
              <w:top w:w="130" w:type="dxa"/>
              <w:start w:w="150" w:type="dxa"/>
              <w:bottom w:w="130" w:type="dxa"/>
              <w:end w:w="150" w:type="dxa"/>
            </w:tcMar>
            <w:vAlign w:val="center"/>
          </w:tcPr>
          <w:p>
            <w:r>
              <w:rPr>
                <w:rFonts w:ascii="Aptos" w:hAnsi="Aptos"/>
                <w:b/>
                <w:color w:val="0B1B2B"/>
                <w:sz w:val="21"/>
              </w:rPr>
              <w:t>Item catalogue</w:t>
            </w:r>
          </w:p>
          <w:p>
            <w:r>
              <w:rPr>
                <w:rFonts w:ascii="Aptos" w:hAnsi="Aptos"/>
                <w:b w:val="0"/>
                <w:color w:val="5F6B7A"/>
                <w:sz w:val="18"/>
              </w:rPr>
              <w:t>Maintain clear item identities, categories, units, stock health, and status.</w:t>
            </w:r>
          </w:p>
        </w:tc>
        <w:tc>
          <w:tcPr>
            <w:tcW w:type="dxa" w:w="5256"/>
            <w:shd w:fill="F3F6F8"/>
            <w:tcMar>
              <w:top w:w="130" w:type="dxa"/>
              <w:start w:w="150" w:type="dxa"/>
              <w:bottom w:w="130" w:type="dxa"/>
              <w:end w:w="150" w:type="dxa"/>
            </w:tcMar>
            <w:vAlign w:val="center"/>
          </w:tcPr>
          <w:p>
            <w:r>
              <w:rPr>
                <w:rFonts w:ascii="Aptos" w:hAnsi="Aptos"/>
                <w:b/>
                <w:color w:val="0B1B2B"/>
                <w:sz w:val="21"/>
              </w:rPr>
              <w:t>Balances and movements</w:t>
            </w:r>
          </w:p>
          <w:p>
            <w:r>
              <w:rPr>
                <w:rFonts w:ascii="Aptos" w:hAnsi="Aptos"/>
                <w:b w:val="0"/>
                <w:color w:val="5F6B7A"/>
                <w:sz w:val="18"/>
              </w:rPr>
              <w:t>See current quantities and trace the ledger entries that created them.</w:t>
            </w:r>
          </w:p>
        </w:tc>
      </w:tr>
      <w:tr>
        <w:tc>
          <w:tcPr>
            <w:tcW w:type="dxa" w:w="5256"/>
            <w:shd w:fill="F3F6F8"/>
            <w:tcMar>
              <w:top w:w="130" w:type="dxa"/>
              <w:start w:w="150" w:type="dxa"/>
              <w:bottom w:w="130" w:type="dxa"/>
              <w:end w:w="150" w:type="dxa"/>
            </w:tcMar>
            <w:vAlign w:val="center"/>
          </w:tcPr>
          <w:p>
            <w:r>
              <w:rPr>
                <w:rFonts w:ascii="Aptos" w:hAnsi="Aptos"/>
                <w:b/>
                <w:color w:val="0B1B2B"/>
                <w:sz w:val="21"/>
              </w:rPr>
              <w:t>Receive, issue, adjust</w:t>
            </w:r>
          </w:p>
          <w:p>
            <w:r>
              <w:rPr>
                <w:rFonts w:ascii="Aptos" w:hAnsi="Aptos"/>
                <w:b w:val="0"/>
                <w:color w:val="5F6B7A"/>
                <w:sz w:val="18"/>
              </w:rPr>
              <w:t>Post direct stock operations with references, reasons, and validation.</w:t>
            </w:r>
          </w:p>
        </w:tc>
        <w:tc>
          <w:tcPr>
            <w:tcW w:type="dxa" w:w="5256"/>
            <w:shd w:fill="F3F6F8"/>
            <w:tcMar>
              <w:top w:w="130" w:type="dxa"/>
              <w:start w:w="150" w:type="dxa"/>
              <w:bottom w:w="130" w:type="dxa"/>
              <w:end w:w="150" w:type="dxa"/>
            </w:tcMar>
            <w:vAlign w:val="center"/>
          </w:tcPr>
          <w:p>
            <w:r>
              <w:rPr>
                <w:rFonts w:ascii="Aptos" w:hAnsi="Aptos"/>
                <w:b/>
                <w:color w:val="0B1B2B"/>
                <w:sz w:val="21"/>
              </w:rPr>
              <w:t>Transfers</w:t>
            </w:r>
          </w:p>
          <w:p>
            <w:r>
              <w:rPr>
                <w:rFonts w:ascii="Aptos" w:hAnsi="Aptos"/>
                <w:b w:val="0"/>
                <w:color w:val="5F6B7A"/>
                <w:sz w:val="18"/>
              </w:rPr>
              <w:t>Move stock between sites through submit, approve, dispatch, and receive states.</w:t>
            </w:r>
          </w:p>
        </w:tc>
      </w:tr>
      <w:tr>
        <w:tc>
          <w:tcPr>
            <w:tcW w:type="dxa" w:w="5256"/>
            <w:shd w:fill="F3F6F8"/>
            <w:tcMar>
              <w:top w:w="130" w:type="dxa"/>
              <w:start w:w="150" w:type="dxa"/>
              <w:bottom w:w="130" w:type="dxa"/>
              <w:end w:w="150" w:type="dxa"/>
            </w:tcMar>
            <w:vAlign w:val="center"/>
          </w:tcPr>
          <w:p>
            <w:r>
              <w:rPr>
                <w:rFonts w:ascii="Aptos" w:hAnsi="Aptos"/>
                <w:b/>
                <w:color w:val="0B1B2B"/>
                <w:sz w:val="21"/>
              </w:rPr>
              <w:t>Stock counts</w:t>
            </w:r>
          </w:p>
          <w:p>
            <w:r>
              <w:rPr>
                <w:rFonts w:ascii="Aptos" w:hAnsi="Aptos"/>
                <w:b w:val="0"/>
                <w:color w:val="5F6B7A"/>
                <w:sz w:val="18"/>
              </w:rPr>
              <w:t>Capture variances, review exceptions, request recounts, approve, and post.</w:t>
            </w:r>
          </w:p>
        </w:tc>
        <w:tc>
          <w:tcPr>
            <w:tcW w:type="dxa" w:w="5256"/>
            <w:shd w:fill="F3F6F8"/>
            <w:tcMar>
              <w:top w:w="130" w:type="dxa"/>
              <w:start w:w="150" w:type="dxa"/>
              <w:bottom w:w="130" w:type="dxa"/>
              <w:end w:w="150" w:type="dxa"/>
            </w:tcMar>
            <w:vAlign w:val="center"/>
          </w:tcPr>
          <w:p>
            <w:r>
              <w:rPr>
                <w:rFonts w:ascii="Aptos" w:hAnsi="Aptos"/>
                <w:b/>
                <w:color w:val="0B1B2B"/>
                <w:sz w:val="21"/>
              </w:rPr>
              <w:t>Assets</w:t>
            </w:r>
          </w:p>
          <w:p>
            <w:r>
              <w:rPr>
                <w:rFonts w:ascii="Aptos" w:hAnsi="Aptos"/>
                <w:b w:val="0"/>
                <w:color w:val="5F6B7A"/>
                <w:sz w:val="18"/>
              </w:rPr>
              <w:t>Control serialised and accountable equipment separately from quantity stock.</w:t>
            </w:r>
          </w:p>
        </w:tc>
      </w:tr>
      <w:tr>
        <w:tc>
          <w:tcPr>
            <w:tcW w:type="dxa" w:w="5256"/>
            <w:shd w:fill="F3F6F8"/>
            <w:tcMar>
              <w:top w:w="130" w:type="dxa"/>
              <w:start w:w="150" w:type="dxa"/>
              <w:bottom w:w="130" w:type="dxa"/>
              <w:end w:w="150" w:type="dxa"/>
            </w:tcMar>
            <w:vAlign w:val="center"/>
          </w:tcPr>
          <w:p>
            <w:r>
              <w:rPr>
                <w:rFonts w:ascii="Aptos" w:hAnsi="Aptos"/>
                <w:b/>
                <w:color w:val="0B1B2B"/>
                <w:sz w:val="21"/>
              </w:rPr>
              <w:t>Reports</w:t>
            </w:r>
          </w:p>
          <w:p>
            <w:r>
              <w:rPr>
                <w:rFonts w:ascii="Aptos" w:hAnsi="Aptos"/>
                <w:b w:val="0"/>
                <w:color w:val="5F6B7A"/>
                <w:sz w:val="18"/>
              </w:rPr>
              <w:t>Filter and export operational views for management and reconciliation.</w:t>
            </w:r>
          </w:p>
        </w:tc>
        <w:tc>
          <w:tcPr>
            <w:tcW w:type="dxa" w:w="5256"/>
            <w:shd w:fill="F3F6F8"/>
            <w:tcMar>
              <w:top w:w="130" w:type="dxa"/>
              <w:start w:w="150" w:type="dxa"/>
              <w:bottom w:w="130" w:type="dxa"/>
              <w:end w:w="150" w:type="dxa"/>
            </w:tcMar>
            <w:vAlign w:val="center"/>
          </w:tcPr>
          <w:p>
            <w:r>
              <w:rPr>
                <w:rFonts w:ascii="Aptos" w:hAnsi="Aptos"/>
                <w:b/>
                <w:color w:val="0B1B2B"/>
                <w:sz w:val="21"/>
              </w:rPr>
              <w:t>Administration</w:t>
            </w:r>
          </w:p>
          <w:p>
            <w:r>
              <w:rPr>
                <w:rFonts w:ascii="Aptos" w:hAnsi="Aptos"/>
                <w:b w:val="0"/>
                <w:color w:val="5F6B7A"/>
                <w:sz w:val="18"/>
              </w:rPr>
              <w:t>Manage users, roles, site access, work profiles, and effective permissions.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3"/>
        <w:gridCol w:w="9720"/>
      </w:tblGrid>
      <w:tr>
        <w:trPr/>
        <w:tc>
          <w:tcPr>
            <w:tcW w:type="dxa" w:w="5256"/>
            <w:shd w:fill="087F68"/>
            <w:tcMar>
              <w:top w:w="50" w:type="dxa"/>
              <w:start w:w="0" w:type="dxa"/>
              <w:bottom w:w="50" w:type="dxa"/>
              <w:end w:w="0" w:type="dxa"/>
            </w:tcMar>
          </w:tcPr>
          <w:p/>
        </w:tc>
        <w:tc>
          <w:tcPr>
            <w:tcW w:type="dxa" w:w="5256"/>
            <w:shd w:fill="DFF4EE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r>
              <w:rPr>
                <w:rFonts w:ascii="Aptos" w:hAnsi="Aptos"/>
                <w:b/>
                <w:color w:val="087F68"/>
                <w:sz w:val="19"/>
              </w:rPr>
              <w:t xml:space="preserve">One consistent experience.  </w:t>
            </w:r>
            <w:r>
              <w:rPr>
                <w:rFonts w:ascii="Aptos" w:hAnsi="Aptos"/>
                <w:b w:val="0"/>
                <w:color w:val="172033"/>
                <w:sz w:val="19"/>
              </w:rPr>
              <w:t>Summary widgets, filters, health states, tables, generated codes, and guided forms behave consistently across modules.</w:t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ptos" w:hAnsi="Aptos"/>
          <w:b/>
          <w:color w:val="087F68"/>
          <w:sz w:val="16"/>
        </w:rPr>
        <w:t>CONTROLLED INVENTORY WORKFLOWS</w:t>
      </w:r>
    </w:p>
    <w:p>
      <w:pPr>
        <w:pStyle w:val="Heading1"/>
      </w:pPr>
      <w:r>
        <w:t>Fast work without hidden shortcuts</w:t>
      </w:r>
    </w:p>
    <w:p>
      <w:r>
        <w:t>The portal separates different operational responsibilities while preserving a common ledger and audit trail.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02"/>
        <w:gridCol w:w="2102"/>
        <w:gridCol w:w="2102"/>
        <w:gridCol w:w="2102"/>
        <w:gridCol w:w="2102"/>
      </w:tblGrid>
      <w:tr>
        <w:tc>
          <w:tcPr>
            <w:tcW w:type="dxa" w:w="1944"/>
            <w:shd w:fill="087F68"/>
            <w:tcMar>
              <w:top w:w="150" w:type="dxa"/>
              <w:start w:w="80" w:type="dxa"/>
              <w:bottom w:w="150" w:type="dxa"/>
              <w:end w:w="8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9"/>
              </w:rPr>
              <w:t>Action</w:t>
            </w:r>
          </w:p>
        </w:tc>
        <w:tc>
          <w:tcPr>
            <w:tcW w:type="dxa" w:w="1944"/>
            <w:shd w:fill="12283D"/>
            <w:tcMar>
              <w:top w:w="150" w:type="dxa"/>
              <w:start w:w="80" w:type="dxa"/>
              <w:bottom w:w="150" w:type="dxa"/>
              <w:end w:w="8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9"/>
              </w:rPr>
              <w:t>Validation</w:t>
            </w:r>
          </w:p>
        </w:tc>
        <w:tc>
          <w:tcPr>
            <w:tcW w:type="dxa" w:w="1944"/>
            <w:shd w:fill="12283D"/>
            <w:tcMar>
              <w:top w:w="150" w:type="dxa"/>
              <w:start w:w="80" w:type="dxa"/>
              <w:bottom w:w="150" w:type="dxa"/>
              <w:end w:w="8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9"/>
              </w:rPr>
              <w:t>Approval</w:t>
            </w:r>
          </w:p>
        </w:tc>
        <w:tc>
          <w:tcPr>
            <w:tcW w:type="dxa" w:w="1944"/>
            <w:shd w:fill="087F68"/>
            <w:tcMar>
              <w:top w:w="150" w:type="dxa"/>
              <w:start w:w="80" w:type="dxa"/>
              <w:bottom w:w="150" w:type="dxa"/>
              <w:end w:w="8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9"/>
              </w:rPr>
              <w:t>Ledger</w:t>
            </w:r>
          </w:p>
        </w:tc>
        <w:tc>
          <w:tcPr>
            <w:tcW w:type="dxa" w:w="1944"/>
            <w:shd w:fill="12283D"/>
            <w:tcMar>
              <w:top w:w="150" w:type="dxa"/>
              <w:start w:w="80" w:type="dxa"/>
              <w:bottom w:w="150" w:type="dxa"/>
              <w:end w:w="8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9"/>
              </w:rPr>
              <w:t>Evidence</w:t>
            </w:r>
          </w:p>
        </w:tc>
      </w:tr>
    </w:tbl>
    <w:p>
      <w:pPr>
        <w:pStyle w:val="Heading2"/>
      </w:pPr>
      <w:r>
        <w:t>Transfers retain responsibility between sites</w:t>
      </w:r>
    </w:p>
    <w:p>
      <w:pPr>
        <w:pStyle w:val="Quote"/>
      </w:pPr>
      <w:r>
        <w:t>Draft  &gt;  Submitted  &gt;  Approved  &gt;  Dispatched  &gt;  Received</w:t>
      </w:r>
    </w:p>
    <w:p>
      <w:r>
        <w:t>The source site records dispatch, the destination confirms receipt, and discrepancies remain visible for review.</w:t>
      </w:r>
    </w:p>
    <w:p>
      <w:pPr>
        <w:pStyle w:val="Heading2"/>
      </w:pPr>
      <w:r>
        <w:t>Counts correct through review</w:t>
      </w:r>
    </w:p>
    <w:p>
      <w:pPr>
        <w:pStyle w:val="Quote"/>
      </w:pPr>
      <w:r>
        <w:t>Draft  &gt;  In progress  &gt;  Submitted  &gt;  Recount or approval  &gt;  Posted</w:t>
      </w:r>
    </w:p>
    <w:p>
      <w:r>
        <w:t>A count does not silently overwrite stock. Variances are calculated, reviewed, and converted into controlled ledger entries.</w:t>
      </w:r>
    </w:p>
    <w:p>
      <w:pPr>
        <w:spacing w:before="100" w:after="60"/>
        <w:jc w:val="center"/>
      </w:pPr>
      <w:r>
        <w:drawing>
          <wp:inline xmlns:a="http://schemas.openxmlformats.org/drawingml/2006/main" xmlns:pic="http://schemas.openxmlformats.org/drawingml/2006/picture">
            <wp:extent cx="5303520" cy="3535680"/>
            <wp:docPr id="4" name="Picture 4" descr="Transfer summary widgets highlight work in progress, in-transit stock, and discrepancies." title="Transfer summary widgets highlight work in progress, in-transit stock, and discrepancies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-transfer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5356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Aptos" w:hAnsi="Aptos"/>
          <w:b w:val="0"/>
          <w:color w:val="5F6B7A"/>
          <w:sz w:val="15"/>
        </w:rPr>
        <w:t>Transfer summary widgets highlight work in progress, in-transit stock, and discrepancies.</w:t>
      </w:r>
    </w:p>
    <w:p>
      <w:r>
        <w:br w:type="page"/>
      </w:r>
    </w:p>
    <w:p>
      <w:pPr>
        <w:spacing w:after="80"/>
      </w:pPr>
      <w:r>
        <w:rPr>
          <w:rFonts w:ascii="Aptos" w:hAnsi="Aptos"/>
          <w:b/>
          <w:color w:val="087F68"/>
          <w:sz w:val="16"/>
        </w:rPr>
        <w:t>AUDIT-READY BY DESIGN</w:t>
      </w:r>
    </w:p>
    <w:p>
      <w:pPr>
        <w:pStyle w:val="Heading1"/>
      </w:pPr>
      <w:r>
        <w:t>Evidence is created as work happens</w:t>
      </w:r>
    </w:p>
    <w:p>
      <w:r>
        <w:t>Auditability is strongest when it is part of the operating workflow, not reconstructed at month-end. The portal records the evidence needed to explain inventory and access decisions.</w:t>
      </w:r>
    </w:p>
    <w:p>
      <w:pPr>
        <w:pStyle w:val="ListBullet"/>
      </w:pPr>
      <w:r>
        <w:t>Immutable inventory movements with item, site, quantity, unit, time, reference, and actor context.</w:t>
      </w:r>
    </w:p>
    <w:p>
      <w:pPr>
        <w:pStyle w:val="ListBullet"/>
      </w:pPr>
      <w:r>
        <w:t>Transfer status history, dispatch and receipt responsibility, and discrepancy visibility.</w:t>
      </w:r>
    </w:p>
    <w:p>
      <w:pPr>
        <w:pStyle w:val="ListBullet"/>
      </w:pPr>
      <w:r>
        <w:t>Count scopes, captured quantities, variances, recount decisions, approvals, and posting history.</w:t>
      </w:r>
    </w:p>
    <w:p>
      <w:pPr>
        <w:pStyle w:val="ListBullet"/>
      </w:pPr>
      <w:r>
        <w:t>Role and site-based permissions with administration and profile events recorded safely.</w:t>
      </w:r>
    </w:p>
    <w:p>
      <w:pPr>
        <w:pStyle w:val="ListBullet"/>
      </w:pPr>
      <w:r>
        <w:t>Searchable reports and audit activity that support operational review and external-audit preparation.</w:t>
      </w:r>
    </w:p>
    <w:p>
      <w:pPr>
        <w:spacing w:before="100" w:after="60"/>
        <w:jc w:val="center"/>
      </w:pPr>
      <w:r>
        <w:drawing>
          <wp:inline xmlns:a="http://schemas.openxmlformats.org/drawingml/2006/main" xmlns:pic="http://schemas.openxmlformats.org/drawingml/2006/picture">
            <wp:extent cx="5440680" cy="4004945"/>
            <wp:docPr id="5" name="Picture 5" descr="The audit log provides a searchable record of important actions without exposing sensitive values." title="The audit log provides a searchable record of important actions without exposing sensitive values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-audit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40680" cy="40049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Aptos" w:hAnsi="Aptos"/>
          <w:b w:val="0"/>
          <w:color w:val="5F6B7A"/>
          <w:sz w:val="15"/>
        </w:rPr>
        <w:t>The audit log provides a searchable record of important actions without exposing sensitive values.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3"/>
        <w:gridCol w:w="9720"/>
      </w:tblGrid>
      <w:tr>
        <w:trPr/>
        <w:tc>
          <w:tcPr>
            <w:tcW w:type="dxa" w:w="5256"/>
            <w:shd w:fill="A65B00"/>
            <w:tcMar>
              <w:top w:w="50" w:type="dxa"/>
              <w:start w:w="0" w:type="dxa"/>
              <w:bottom w:w="50" w:type="dxa"/>
              <w:end w:w="0" w:type="dxa"/>
            </w:tcMar>
          </w:tcPr>
          <w:p/>
        </w:tc>
        <w:tc>
          <w:tcPr>
            <w:tcW w:type="dxa" w:w="5256"/>
            <w:shd w:fill="FFF2DF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r>
              <w:rPr>
                <w:rFonts w:ascii="Aptos" w:hAnsi="Aptos"/>
                <w:b/>
                <w:color w:val="A65B00"/>
                <w:sz w:val="19"/>
              </w:rPr>
              <w:t xml:space="preserve">Production governance remains a client decision.  </w:t>
            </w:r>
            <w:r>
              <w:rPr>
                <w:rFonts w:ascii="Aptos" w:hAnsi="Aptos"/>
                <w:b w:val="0"/>
                <w:color w:val="172033"/>
                <w:sz w:val="19"/>
              </w:rPr>
              <w:t>Approval thresholds, segregation of duties, valuation, retention, backups, evidence attachments, and auditor export formats must be confirmed before go-live.</w:t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ptos" w:hAnsi="Aptos"/>
          <w:b/>
          <w:color w:val="087F68"/>
          <w:sz w:val="16"/>
        </w:rPr>
        <w:t>DEMONSTRATION TODAY. PRODUCTION-READY PATH TOMORROW.</w:t>
      </w:r>
    </w:p>
    <w:p>
      <w:pPr>
        <w:pStyle w:val="Heading1"/>
      </w:pPr>
      <w:r>
        <w:t>Validate the operating model before committing to infrastructure</w:t>
      </w:r>
    </w:p>
    <w:p>
      <w:r>
        <w:t>The current demonstration is a realistic, session-backed application. It lets Phatsema’s team test language, roles, workflows, data fields, and reports before production persistence and integrations are introduced.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5256"/>
            <w:shd w:fill="F3F6F8"/>
            <w:tcMar>
              <w:top w:w="130" w:type="dxa"/>
              <w:start w:w="150" w:type="dxa"/>
              <w:bottom w:w="130" w:type="dxa"/>
              <w:end w:w="150" w:type="dxa"/>
            </w:tcMar>
            <w:vAlign w:val="center"/>
          </w:tcPr>
          <w:p>
            <w:r>
              <w:rPr>
                <w:rFonts w:ascii="Aptos" w:hAnsi="Aptos"/>
                <w:b/>
                <w:color w:val="0B1B2B"/>
                <w:sz w:val="21"/>
              </w:rPr>
              <w:t>Current demonstration</w:t>
            </w:r>
          </w:p>
          <w:p>
            <w:r>
              <w:rPr>
                <w:rFonts w:ascii="Aptos" w:hAnsi="Aptos"/>
                <w:b w:val="0"/>
                <w:color w:val="5F6B7A"/>
                <w:sz w:val="18"/>
              </w:rPr>
              <w:t>Rich fictional data, resettable sessions, full workflows, and responsive screens.</w:t>
            </w:r>
          </w:p>
        </w:tc>
        <w:tc>
          <w:tcPr>
            <w:tcW w:type="dxa" w:w="5256"/>
            <w:shd w:fill="F3F6F8"/>
            <w:tcMar>
              <w:top w:w="130" w:type="dxa"/>
              <w:start w:w="150" w:type="dxa"/>
              <w:bottom w:w="130" w:type="dxa"/>
              <w:end w:w="150" w:type="dxa"/>
            </w:tcMar>
            <w:vAlign w:val="center"/>
          </w:tcPr>
          <w:p>
            <w:r>
              <w:rPr>
                <w:rFonts w:ascii="Aptos" w:hAnsi="Aptos"/>
                <w:b/>
                <w:color w:val="0B1B2B"/>
                <w:sz w:val="21"/>
              </w:rPr>
              <w:t>Production persistence</w:t>
            </w:r>
          </w:p>
          <w:p>
            <w:r>
              <w:rPr>
                <w:rFonts w:ascii="Aptos" w:hAnsi="Aptos"/>
                <w:b w:val="0"/>
                <w:color w:val="5F6B7A"/>
                <w:sz w:val="18"/>
              </w:rPr>
              <w:t>Repository contracts allow a MariaDB adapter to replace the demo store.</w:t>
            </w:r>
          </w:p>
        </w:tc>
      </w:tr>
      <w:tr>
        <w:tc>
          <w:tcPr>
            <w:tcW w:type="dxa" w:w="5256"/>
            <w:shd w:fill="F3F6F8"/>
            <w:tcMar>
              <w:top w:w="130" w:type="dxa"/>
              <w:start w:w="150" w:type="dxa"/>
              <w:bottom w:w="130" w:type="dxa"/>
              <w:end w:w="150" w:type="dxa"/>
            </w:tcMar>
            <w:vAlign w:val="center"/>
          </w:tcPr>
          <w:p>
            <w:r>
              <w:rPr>
                <w:rFonts w:ascii="Aptos" w:hAnsi="Aptos"/>
                <w:b/>
                <w:color w:val="0B1B2B"/>
                <w:sz w:val="21"/>
              </w:rPr>
              <w:t>Controls workshop</w:t>
            </w:r>
          </w:p>
          <w:p>
            <w:r>
              <w:rPr>
                <w:rFonts w:ascii="Aptos" w:hAnsi="Aptos"/>
                <w:b w:val="0"/>
                <w:color w:val="5F6B7A"/>
                <w:sz w:val="18"/>
              </w:rPr>
              <w:t>Confirm sites, stock ownership, approvals, segregation, units, and evidence needs.</w:t>
            </w:r>
          </w:p>
        </w:tc>
        <w:tc>
          <w:tcPr>
            <w:tcW w:type="dxa" w:w="5256"/>
            <w:shd w:fill="F3F6F8"/>
            <w:tcMar>
              <w:top w:w="130" w:type="dxa"/>
              <w:start w:w="150" w:type="dxa"/>
              <w:bottom w:w="130" w:type="dxa"/>
              <w:end w:w="150" w:type="dxa"/>
            </w:tcMar>
            <w:vAlign w:val="center"/>
          </w:tcPr>
          <w:p>
            <w:r>
              <w:rPr>
                <w:rFonts w:ascii="Aptos" w:hAnsi="Aptos"/>
                <w:b/>
                <w:color w:val="0B1B2B"/>
                <w:sz w:val="21"/>
              </w:rPr>
              <w:t>Launch preparation</w:t>
            </w:r>
          </w:p>
          <w:p>
            <w:r>
              <w:rPr>
                <w:rFonts w:ascii="Aptos" w:hAnsi="Aptos"/>
                <w:b w:val="0"/>
                <w:color w:val="5F6B7A"/>
                <w:sz w:val="18"/>
              </w:rPr>
              <w:t>Migrate opening balances, configure access, rehearse processes, and sign off controls.</w:t>
            </w:r>
          </w:p>
        </w:tc>
      </w:tr>
    </w:tbl>
    <w:p>
      <w:pPr>
        <w:pStyle w:val="Heading2"/>
      </w:pPr>
      <w:r>
        <w:t>Recommended next workshop</w:t>
      </w:r>
    </w:p>
    <w:p>
      <w:pPr>
        <w:pStyle w:val="ListNumber"/>
      </w:pPr>
      <w:r>
        <w:t>Walk through one real receipt, issue, transfer, count, and asset scenario.</w:t>
      </w:r>
    </w:p>
    <w:p>
      <w:pPr>
        <w:pStyle w:val="ListNumber"/>
      </w:pPr>
      <w:r>
        <w:t>Confirm users, roles, site scope, approvals, and exceptions.</w:t>
      </w:r>
    </w:p>
    <w:p>
      <w:pPr>
        <w:pStyle w:val="ListNumber"/>
      </w:pPr>
      <w:r>
        <w:t>Agree master-data ownership, naming, units, and opening-balance evidence.</w:t>
      </w:r>
    </w:p>
    <w:p>
      <w:pPr>
        <w:pStyle w:val="ListNumber"/>
      </w:pPr>
      <w:r>
        <w:t>Prioritise production reports, exports, integrations, and audit packs.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3"/>
        <w:gridCol w:w="9720"/>
      </w:tblGrid>
      <w:tr>
        <w:trPr/>
        <w:tc>
          <w:tcPr>
            <w:tcW w:type="dxa" w:w="5256"/>
            <w:shd w:fill="087F68"/>
            <w:tcMar>
              <w:top w:w="50" w:type="dxa"/>
              <w:start w:w="0" w:type="dxa"/>
              <w:bottom w:w="50" w:type="dxa"/>
              <w:end w:w="0" w:type="dxa"/>
            </w:tcMar>
          </w:tcPr>
          <w:p/>
        </w:tc>
        <w:tc>
          <w:tcPr>
            <w:tcW w:type="dxa" w:w="5256"/>
            <w:shd w:fill="DFF4EE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r>
              <w:rPr>
                <w:rFonts w:ascii="Aptos" w:hAnsi="Aptos"/>
                <w:b/>
                <w:color w:val="087F68"/>
                <w:sz w:val="19"/>
              </w:rPr>
              <w:t xml:space="preserve">Demo access  </w:t>
            </w:r>
            <w:r>
              <w:rPr>
                <w:rFonts w:ascii="Aptos" w:hAnsi="Aptos"/>
                <w:b w:val="0"/>
                <w:color w:val="172033"/>
                <w:sz w:val="19"/>
              </w:rPr>
              <w:t>Explore the portal at phatsema.valosystems.co.za. Demonstration records are fictional and reset with the session.</w:t>
            </w:r>
          </w:p>
        </w:tc>
      </w:tr>
    </w:tbl>
    <w:p>
      <w:pPr>
        <w:spacing w:before="240"/>
        <w:jc w:val="center"/>
      </w:pPr>
      <w:r>
        <w:rPr>
          <w:rFonts w:ascii="Aptos" w:hAnsi="Aptos"/>
          <w:b/>
          <w:color w:val="0B1B2B"/>
          <w:sz w:val="24"/>
        </w:rPr>
        <w:t>Prepared with care by Valo Systems</w:t>
      </w:r>
      <w:r>
        <w:br/>
      </w:r>
      <w:hyperlink r:id="rId14">
        <w:r>
          <w:rPr>
            <w:color w:val="1779A9"/>
            <w:u w:val="single"/>
          </w:rPr>
          <w:t>phatsema.valosystems.co.za</w:t>
        </w:r>
      </w:hyperlink>
    </w:p>
    <w:sectPr w:rsidR="00FC693F" w:rsidRPr="0006063C" w:rsidSect="00034616">
      <w:headerReference w:type="default" r:id="rId15"/>
      <w:footerReference w:type="default" r:id="rId16"/>
      <w:pgSz w:w="12240" w:h="15840"/>
      <w:pgMar w:top="792" w:right="864" w:bottom="720" w:left="864" w:header="360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auto" w:w="0"/>
      <w:tblLayout w:type="fixed"/>
      <w:tblLook w:firstColumn="1" w:firstRow="1" w:lastColumn="0" w:lastRow="0" w:noHBand="0" w:noVBand="1" w:val="04A0"/>
    </w:tblPr>
    <w:tblGrid>
      <w:gridCol w:w="8064"/>
      <w:gridCol w:w="2160"/>
    </w:tblGrid>
    <w:tr>
      <w:tc>
        <w:tcPr>
          <w:tcW w:type="dxa" w:w="5112"/>
        </w:tcPr>
        <w:p>
          <w:r>
            <w:rPr>
              <w:rFonts w:ascii="Aptos" w:hAnsi="Aptos"/>
              <w:b w:val="0"/>
              <w:color w:val="5F6B7A"/>
              <w:sz w:val="15"/>
            </w:rPr>
            <w:t>Prepared by Valo Systems  |  Demonstration edition  |  July 2026</w:t>
          </w:r>
        </w:p>
      </w:tc>
      <w:tc>
        <w:tcPr>
          <w:tcW w:type="dxa" w:w="5112"/>
        </w:tcPr>
        <w:p>
          <w:pPr>
            <w:jc w:val="right"/>
          </w:pPr>
          <w:r>
            <w:rPr>
              <w:color w:val="5F6B7A"/>
              <w:sz w:val="16"/>
            </w:rPr>
            <w:t xml:space="preserve">Page </w:t>
            <w:fldChar w:fldCharType="begin"/>
            <w:instrText xml:space="preserve"> PAGE </w:instrText>
            <w:fldChar w:fldCharType="end"/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tblLayout w:type="fixed"/>
      <w:tblLook w:firstColumn="1" w:firstRow="1" w:lastColumn="0" w:lastRow="0" w:noHBand="0" w:noVBand="1" w:val="04A0"/>
    </w:tblPr>
    <w:tblGrid>
      <w:gridCol w:w="8208"/>
      <w:gridCol w:w="2016"/>
    </w:tblGrid>
    <w:tr>
      <w:tc>
        <w:tcPr>
          <w:tcW w:type="dxa" w:w="8208"/>
        </w:tcPr>
        <w:p>
          <w:r>
            <w:rPr>
              <w:rFonts w:ascii="Aptos" w:hAnsi="Aptos"/>
              <w:b/>
              <w:color w:val="5F6B7A"/>
              <w:sz w:val="15"/>
            </w:rPr>
            <w:t>PHATSEMA BACK-OFFICE PORTAL | SYSTEM BROCHURE</w:t>
          </w:r>
        </w:p>
      </w:tc>
      <w:tc>
        <w:tcPr>
          <w:tcW w:type="dxa" w:w="2016"/>
        </w:tcPr>
        <w:p>
          <w:pPr>
            <w:jc w:val="right"/>
          </w:pPr>
          <w:r>
            <w:drawing>
              <wp:inline xmlns:a="http://schemas.openxmlformats.org/drawingml/2006/main" xmlns:pic="http://schemas.openxmlformats.org/drawingml/2006/picture">
                <wp:extent cx="201168" cy="213663"/>
                <wp:docPr id="1" name="Picture 1" descr="Phatsema brand mark" title="Phatsema brand mark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-mark-color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01168" cy="213663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ptos" w:hAnsi="Aptos"/>
      <w:color w:val="1720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6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B1B2B"/>
      <w:sz w:val="4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87F68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60"/>
      <w:outlineLvl w:val="2"/>
    </w:pPr>
    <w:rPr>
      <w:rFonts w:asciiTheme="majorHAnsi" w:eastAsiaTheme="majorEastAsia" w:hAnsiTheme="majorHAnsi" w:cstheme="majorBidi" w:ascii="Aptos" w:hAnsi="Aptos"/>
      <w:b/>
      <w:bCs/>
      <w:color w:val="12283D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4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0B1B2B"/>
      <w:spacing w:val="5"/>
      <w:kern w:val="28"/>
      <w:sz w:val="6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160"/>
    </w:pPr>
    <w:rPr>
      <w:rFonts w:asciiTheme="majorHAnsi" w:eastAsiaTheme="majorEastAsia" w:hAnsiTheme="majorHAnsi" w:cstheme="majorBidi" w:ascii="Aptos" w:hAnsi="Aptos"/>
      <w:b w:val="0"/>
      <w:i/>
      <w:iCs/>
      <w:color w:val="5F6B7A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ind w:left="317" w:hanging="202"/>
      <w:contextualSpacing/>
    </w:pPr>
    <w:rPr>
      <w:rFonts w:ascii="Aptos" w:hAnsi="Aptos"/>
      <w:color w:val="172033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ind w:left="317" w:hanging="202"/>
      <w:contextualSpacing/>
    </w:pPr>
    <w:rPr>
      <w:rFonts w:ascii="Aptos" w:hAnsi="Aptos"/>
      <w:color w:val="172033"/>
      <w:sz w:val="2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>
      <w:spacing w:before="100" w:after="100"/>
      <w:ind w:left="317"/>
    </w:pPr>
    <w:rPr>
      <w:rFonts w:ascii="Aptos" w:hAnsi="Aptos"/>
      <w:i w:val="0"/>
      <w:iCs/>
      <w:color w:val="0B1B2B"/>
      <w:sz w:val="2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hyperlink" Target="https://phatsema.valosystems.co.za" TargetMode="External"/><Relationship Id="rId15" Type="http://schemas.openxmlformats.org/officeDocument/2006/relationships/header" Target="header1.xml"/><Relationship Id="rId16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Phatsema Back-Office Portal | System Brochure</dc:title>
  <dc:subject>A concise overview of the multi-site inventory and operational control portal.</dc:subject>
  <dc:creator>Valo Systems</dc:creator>
  <cp:keywords>Phatsema, inventory, back-office, multi-site, audit, Valo Systems</cp:keywords>
  <dc:description>Prepared for Phatsema by Valo Systems.</dc:description>
  <cp:lastModifiedBy>Valo Systems</cp:lastModifiedBy>
  <cp:revision>1</cp:revision>
  <dcterms:created xsi:type="dcterms:W3CDTF">2013-12-23T23:15:00Z</dcterms:created>
  <dcterms:modified xsi:type="dcterms:W3CDTF">2013-12-23T23:15:00Z</dcterms:modified>
  <cp:category/>
</cp:coreProperties>
</file>