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D9A63"/>
          <w:sz w:val="20"/>
        </w:rPr>
        <w:t>TECH CHALLENGE · DATA ANALYTICS</w:t>
      </w:r>
    </w:p>
    <w:p>
      <w:pPr>
        <w:pStyle w:val="Title"/>
        <w:jc w:val="left"/>
      </w:pPr>
      <w:r>
        <w:rPr>
          <w:rFonts w:ascii="Arial" w:hAnsi="Arial"/>
          <w:b/>
          <w:color w:val="14212C"/>
          <w:sz w:val="52"/>
        </w:rPr>
        <w:t>Relatorio Executivo</w:t>
        <w:br/>
        <w:t>Tech Challenge Olist Data</w:t>
      </w:r>
    </w:p>
    <w:p>
      <w:pPr>
        <w:spacing w:after="320"/>
      </w:pPr>
      <w:r>
        <w:rPr>
          <w:color w:val="637381"/>
          <w:sz w:val="28"/>
        </w:rPr>
        <w:t>Desempenho comercial, eficiencia logistica, satisfacao do cliente e alavancas de captura de valor no e-commerce Olist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7F0"/>
            <w:tcBorders>
              <w:top w:sz="8" w:val="single" w:color="1D9A63"/>
              <w:left w:sz="24" w:val="single" w:color="1D9A63"/>
              <w:bottom w:sz="8" w:val="single" w:color="1D9A63"/>
              <w:right w:sz="8" w:val="single" w:color="1D9A63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14212C"/>
                <w:sz w:val="20"/>
              </w:rPr>
              <w:t>Tese central</w:t>
            </w:r>
          </w:p>
          <w:p>
            <w:pPr>
              <w:spacing w:after="0"/>
            </w:pPr>
            <w:r>
              <w:rPr>
                <w:color w:val="425466"/>
                <w:sz w:val="19"/>
              </w:rPr>
              <w:t>A Olist cresceu, mas de forma concentrada; o principal fator de erosao de valor esta na logistica; e o maior potencial de ganho futuro esta em ampliar sellers estrategicos com apoio de retencao e disciplina operacional.</w:t>
            </w:r>
          </w:p>
        </w:tc>
      </w:tr>
    </w:tbl>
    <w:p/>
    <w:p>
      <w:r>
        <w:rPr>
          <w:b/>
        </w:rPr>
        <w:t xml:space="preserve">Autor: </w:t>
      </w:r>
      <w:r>
        <w:t>Leonardo Montagner de Ramos Vallim</w:t>
      </w:r>
    </w:p>
    <w:p>
      <w:r>
        <w:rPr>
          <w:b/>
        </w:rPr>
        <w:t xml:space="preserve">Curso: </w:t>
      </w:r>
      <w:r>
        <w:t>Data Analytics</w:t>
      </w:r>
    </w:p>
    <w:p>
      <w:r>
        <w:rPr>
          <w:b/>
        </w:rPr>
        <w:t xml:space="preserve">Base analisada: </w:t>
      </w:r>
      <w:r>
        <w:t>Brazilian E-Commerce Public Dataset by Olist</w:t>
      </w:r>
    </w:p>
    <w:p>
      <w:r>
        <w:rPr>
          <w:b/>
        </w:rPr>
        <w:t xml:space="preserve">Recorte principal: </w:t>
      </w:r>
      <w:r>
        <w:t>janeiro de 2017 a agosto de 2018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4212C"/>
        </w:rPr>
        <w:t>Sumario executivo</w:t>
      </w:r>
    </w:p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Este relatorio transforma a base transacional da Olist em uma leitura executiva voltada a decisao. O foco nao foi apenas descrever indicadores, mas identificar onde ha criacao de valor, onde ha perda de valor percebido e quais alavancas sao mais defensaveis para sustentar crescimento futuro.</w:t>
      </w:r>
    </w:p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A analise indica que a Olist possui tracao comercial relevante, porem concentrada em poucos polos geograficos, categorias lideres e um conjunto restrito de sellers. Essa concentracao representa ao mesmo tempo uma evidencia de demanda e um sinal de dependencia.</w:t>
      </w:r>
    </w:p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A maior evidencia estatistica de erosao de valor esta na logistica: pedidos atrasados apresentam nota media substancialmente inferior aos pedidos entregues no prazo. O efeito observado sustenta que atraso deve ser tratado como tema de experiencia, reputacao e protecao de receita futura, nao apenas como eficiencia operacional.</w:t>
      </w:r>
    </w:p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A base de recompra ainda e pequena, indicando oportunidade de retencao seletiva. A recomendacao e concentrar esforcos nas categorias e sellers que ja apresentam tracao, evitando uma estrategia difusa e pouco priorizada.</w:t>
      </w:r>
    </w:p>
    <w:p>
      <w:pPr>
        <w:pStyle w:val="Heading2"/>
      </w:pPr>
      <w:r>
        <w:rPr>
          <w:rFonts w:ascii="Arial" w:hAnsi="Arial"/>
          <w:color w:val="142132"/>
        </w:rPr>
        <w:t>Principais conclusoes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4212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408"/>
            <w:shd w:fill="14212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Conclusao</w:t>
            </w:r>
          </w:p>
        </w:tc>
        <w:tc>
          <w:tcPr>
            <w:tcW w:type="dxa" w:w="3408"/>
            <w:shd w:fill="14212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Crescimento concentrado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Top 10 cidades concentram 33,35% da receita; top 10 categorias concentram 62,37%.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Atraso corroi satisfacao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Nota media cai de 4,30 no prazo para 2,57 em atraso; diferenca robusta (p &lt; 0,001).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Sellers detratores sao priorizaveis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Score de risco combina volume, taxa de atraso e impacto em nota para orientar acao.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Recompra e oportunidade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Apenas 3,04% dos clientes apresentam recompra no recorte tratado.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Cenario como apoio a decisao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 cenario M+1 deve ser interpretado como simulacao executiva, nao previsao causal exata.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4212C"/>
        </w:rPr>
        <w:t>1. Contexto e objetivo</w:t>
      </w:r>
    </w:p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O Tech Challenge Olist Data tem como objetivo construir uma leitura executiva para investidores e acionistas do setor de e-commerce a partir da base publica da Olist. O desafio central e transformar dados transacionais em uma narrativa clara sobre desempenho comercial, eficiencia logistica, satisfacao do cliente e recomendacoes acionaveis.</w:t>
      </w:r>
    </w:p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A Olist opera como plataforma de conexao entre sellers e marketplaces. Nesse contexto, crescimento sustentavel depende da combinacao de escala comercial, confiabilidade logistica, qualidade da experiencia do cliente e capacidade de priorizar parceiros com maior potencial de expansao.</w:t>
      </w:r>
    </w:p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A pergunta executiva que orienta este relatorio e: onde a Olist cria valor, onde perde valor e quais movimentos devem ser priorizados para sustentar crescimento futuro?</w:t>
      </w:r>
    </w:p>
    <w:p>
      <w:pPr>
        <w:pStyle w:val="Heading2"/>
      </w:pPr>
      <w:r>
        <w:rPr>
          <w:rFonts w:ascii="Arial" w:hAnsi="Arial"/>
          <w:color w:val="142132"/>
        </w:rPr>
        <w:t>1.1 Perguntas de negocio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Onde o crescimento comercial esta concentrado e quais riscos de dependencia isso gera?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Como atrasos logisticos se relacionam com a satisfacao do cliente?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Quais sellers apresentam maior risco operacional e devem ser priorizados?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A recompra representa uma oportunidade de retencao seletiva?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Como traduzir os achados em recomendacoes executivas e cenario de captura de valor?</w:t>
      </w:r>
    </w:p>
    <w:p>
      <w:pPr>
        <w:pStyle w:val="Heading1"/>
      </w:pPr>
      <w:r>
        <w:rPr>
          <w:rFonts w:ascii="Arial" w:hAnsi="Arial"/>
          <w:color w:val="14212C"/>
        </w:rPr>
        <w:t>2. Base de dados, filtros e metodologia</w:t>
      </w:r>
    </w:p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A analise utilizou os CSVs do Brazilian E-Commerce Public Dataset by Olist, incluindo dados de clientes, pedidos, itens, pagamentos, avaliacoes, produtos, sellers, geolocalizacao e traducao de categorias.</w:t>
      </w:r>
    </w:p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Para reduzir ruidos de borda e alinhar a leitura estatistica ao dashboard principal, o recorte executivo foi concentrado em pedidos a partir de 01/01/2017, removendo pedidos cancelados e indisponiveis na camada comercial principal e tratando setembro de 2018 como mes residual fora da serie mensal principal.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RECEITA TOTAL</w:t>
            </w:r>
          </w:p>
          <w:p>
            <w:r>
              <w:rPr>
                <w:b/>
                <w:color w:val="1D9A63"/>
                <w:sz w:val="30"/>
              </w:rPr>
              <w:t>R$ 15,68 mi</w:t>
            </w:r>
          </w:p>
          <w:p>
            <w:r>
              <w:rPr>
                <w:color w:val="637381"/>
                <w:sz w:val="16"/>
              </w:rPr>
              <w:t>Base comercial tratada</w:t>
            </w:r>
          </w:p>
        </w:tc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PEDIDOS</w:t>
            </w:r>
          </w:p>
          <w:p>
            <w:r>
              <w:rPr>
                <w:b/>
                <w:color w:val="14212C"/>
                <w:sz w:val="30"/>
              </w:rPr>
              <w:t>97.905</w:t>
            </w:r>
          </w:p>
          <w:p>
            <w:r>
              <w:rPr>
                <w:color w:val="637381"/>
                <w:sz w:val="16"/>
              </w:rPr>
              <w:t>Pedidos no recorte principal</w:t>
            </w:r>
          </w:p>
        </w:tc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TICKET MEDIO</w:t>
            </w:r>
          </w:p>
          <w:p>
            <w:r>
              <w:rPr>
                <w:b/>
                <w:color w:val="14212C"/>
                <w:sz w:val="30"/>
              </w:rPr>
              <w:t>R$ 160,19</w:t>
            </w:r>
          </w:p>
          <w:p>
            <w:r>
              <w:rPr>
                <w:color w:val="637381"/>
                <w:sz w:val="16"/>
              </w:rPr>
              <w:t>Receita por pedido</w:t>
            </w:r>
          </w:p>
        </w:tc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CLIENTES UNICOS</w:t>
            </w:r>
          </w:p>
          <w:p>
            <w:r>
              <w:rPr>
                <w:b/>
                <w:color w:val="1D9A63"/>
                <w:sz w:val="30"/>
              </w:rPr>
              <w:t>94.703</w:t>
            </w:r>
          </w:p>
          <w:p>
            <w:r>
              <w:rPr>
                <w:color w:val="637381"/>
                <w:sz w:val="16"/>
              </w:rPr>
              <w:t>Base ativa observada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42132"/>
        </w:rPr>
        <w:t>2.1 Principais regras de tratamento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4212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112"/>
            <w:shd w:fill="14212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Regra aplicada</w:t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Periodo principal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Jan/2017 a Ago/2018</w:t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Pedidos removidos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Cancelados, indisponiveis e sem data de compra valida</w:t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Atraso logistico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Pedidos entregues com datas validas e entrega posterior a data estimada</w:t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Reviews por pedido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Quando havia mais de um review, a nota foi agregada pela media</w:t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Interpretacao estatistica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Associacao observada, nao causalidade definitiva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4212C"/>
        </w:rPr>
        <w:t>3. Achado 1 - Crescimento existe, mas e concentrado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7F0"/>
            <w:tcBorders>
              <w:top w:sz="8" w:val="single" w:color="1D9A63"/>
              <w:left w:sz="24" w:val="single" w:color="1D9A63"/>
              <w:bottom w:sz="8" w:val="single" w:color="1D9A63"/>
              <w:right w:sz="8" w:val="single" w:color="1D9A63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14212C"/>
                <w:sz w:val="20"/>
              </w:rPr>
              <w:t>Leitura executiva</w:t>
            </w:r>
          </w:p>
          <w:p>
            <w:pPr>
              <w:spacing w:after="0"/>
            </w:pPr>
            <w:r>
              <w:rPr>
                <w:color w:val="425466"/>
                <w:sz w:val="19"/>
              </w:rPr>
              <w:t>A Olist ganhou escala comercial, mas o valor nao esta pulverizado. A concentracao em poucos polos e categorias reforca tracao, mas tambem indica dependencia de poucos motores de crescimento.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TOP 10 CIDADES</w:t>
            </w:r>
          </w:p>
          <w:p>
            <w:r>
              <w:rPr>
                <w:b/>
                <w:color w:val="1D9A63"/>
                <w:sz w:val="30"/>
              </w:rPr>
              <w:t>33,35%</w:t>
            </w:r>
          </w:p>
          <w:p>
            <w:r>
              <w:rPr>
                <w:color w:val="637381"/>
                <w:sz w:val="16"/>
              </w:rPr>
              <w:t>Participacao da receita</w:t>
            </w:r>
          </w:p>
        </w:tc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SAO PAULO</w:t>
            </w:r>
          </w:p>
          <w:p>
            <w:r>
              <w:rPr>
                <w:b/>
                <w:color w:val="14212C"/>
                <w:sz w:val="30"/>
              </w:rPr>
              <w:t>13,68%</w:t>
            </w:r>
          </w:p>
          <w:p>
            <w:r>
              <w:rPr>
                <w:color w:val="637381"/>
                <w:sz w:val="16"/>
              </w:rPr>
              <w:t>Share isolado da cidade lider</w:t>
            </w:r>
          </w:p>
        </w:tc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TOP 5 CATEGORIAS</w:t>
            </w:r>
          </w:p>
          <w:p>
            <w:r>
              <w:rPr>
                <w:b/>
                <w:color w:val="14212C"/>
                <w:sz w:val="30"/>
              </w:rPr>
              <w:t>39,28%</w:t>
            </w:r>
          </w:p>
          <w:p>
            <w:r>
              <w:rPr>
                <w:color w:val="637381"/>
                <w:sz w:val="16"/>
              </w:rPr>
              <w:t>Concentracao nas categorias lideres</w:t>
            </w:r>
          </w:p>
        </w:tc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TOP 10 CATEGORIAS</w:t>
            </w:r>
          </w:p>
          <w:p>
            <w:r>
              <w:rPr>
                <w:b/>
                <w:color w:val="1D9A63"/>
                <w:sz w:val="30"/>
              </w:rPr>
              <w:t>62,37%</w:t>
            </w:r>
          </w:p>
          <w:p>
            <w:r>
              <w:rPr>
                <w:color w:val="637381"/>
                <w:sz w:val="16"/>
              </w:rPr>
              <w:t>Maior parte do valor em poucas frentes</w:t>
            </w:r>
          </w:p>
        </w:tc>
      </w:tr>
    </w:tbl>
    <w:p/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A concentracao geografia indica que grandes centros urbanos sustentam parcela relevante da receita. Isso sugere que a expansao comercial deve considerar tanto aprofundamento nos polos ja fortes quanto estrategias seletivas de diversificacao em mercados adjacentes.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08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_receita_cid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637381"/>
          <w:sz w:val="16"/>
        </w:rPr>
        <w:t>Figura 1 - Pareto de receita por cidade. A concentracao em grandes centros sustenta a tese de crescimento concentrado.</w:t>
      </w:r>
    </w:p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Do ponto de vista de produto, a receita tambem se concentra em poucas categorias. Esse comportamento favorece estrategias de foco comercial: priorizar sortimento, marketing, sellers e retencao nas categorias com maior tracao historica.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15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_receita_catego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637381"/>
          <w:sz w:val="16"/>
        </w:rPr>
        <w:t>Figura 2 - Pareto de receita por categoria. O valor esta concentrado em categorias lideres.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4212C"/>
        </w:rPr>
        <w:t>4. Achado 2 - Atraso corroi valor percebido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1F1"/>
            <w:tcBorders>
              <w:top w:sz="8" w:val="single" w:color="C84D4D"/>
              <w:left w:sz="24" w:val="single" w:color="C84D4D"/>
              <w:bottom w:sz="8" w:val="single" w:color="C84D4D"/>
              <w:right w:sz="8" w:val="single" w:color="C84D4D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14212C"/>
                <w:sz w:val="20"/>
              </w:rPr>
              <w:t>Leitura executiva</w:t>
            </w:r>
          </w:p>
          <w:p>
            <w:pPr>
              <w:spacing w:after="0"/>
            </w:pPr>
            <w:r>
              <w:rPr>
                <w:color w:val="425466"/>
                <w:sz w:val="19"/>
              </w:rPr>
              <w:t>Ha evidencia estatistica de associacao entre atraso logistico e pior avaliacao. A logistica deve ser tratada como agenda de experiencia e reputacao, nao apenas como eficiencia operacional.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NOTA NO PRAZO</w:t>
            </w:r>
          </w:p>
          <w:p>
            <w:r>
              <w:rPr>
                <w:b/>
                <w:color w:val="1D9A63"/>
                <w:sz w:val="30"/>
              </w:rPr>
              <w:t>4,30</w:t>
            </w:r>
          </w:p>
          <w:p>
            <w:r>
              <w:rPr>
                <w:color w:val="637381"/>
                <w:sz w:val="16"/>
              </w:rPr>
              <w:t>Pedidos entregues dentro da promessa</w:t>
            </w:r>
          </w:p>
        </w:tc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NOTA COM ATRASO</w:t>
            </w:r>
          </w:p>
          <w:p>
            <w:r>
              <w:rPr>
                <w:b/>
                <w:color w:val="14212C"/>
                <w:sz w:val="30"/>
              </w:rPr>
              <w:t>2,57</w:t>
            </w:r>
          </w:p>
          <w:p>
            <w:r>
              <w:rPr>
                <w:color w:val="637381"/>
                <w:sz w:val="16"/>
              </w:rPr>
              <w:t>Pedidos entregues depois da data estimada</w:t>
            </w:r>
          </w:p>
        </w:tc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GAP ABSOLUTO</w:t>
            </w:r>
          </w:p>
          <w:p>
            <w:r>
              <w:rPr>
                <w:b/>
                <w:color w:val="14212C"/>
                <w:sz w:val="30"/>
              </w:rPr>
              <w:t>-1,73</w:t>
            </w:r>
          </w:p>
          <w:p>
            <w:r>
              <w:rPr>
                <w:color w:val="637381"/>
                <w:sz w:val="16"/>
              </w:rPr>
              <w:t>Diferenca entre grupos</w:t>
            </w:r>
          </w:p>
        </w:tc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TESTE ESTATISTICO</w:t>
            </w:r>
          </w:p>
          <w:p>
            <w:r>
              <w:rPr>
                <w:b/>
                <w:color w:val="1D9A63"/>
                <w:sz w:val="30"/>
              </w:rPr>
              <w:t>p &lt; 0,001</w:t>
            </w:r>
          </w:p>
          <w:p>
            <w:r>
              <w:rPr>
                <w:color w:val="637381"/>
                <w:sz w:val="16"/>
              </w:rPr>
              <w:t>Mann-Whitney</w:t>
            </w:r>
          </w:p>
        </w:tc>
      </w:tr>
    </w:tbl>
    <w:p/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O comportamento observado mostra uma queda expressiva na avaliacao quando ha atraso. A diferenca entre os grupos e estatisticamente robusta, com teste de Mann-Whitney indicando p &lt; 0,001. A correlacao de Spearman entre atraso e nota tambem aponta relacao negativa (rho = -0,30; p &lt; 0,001).</w:t>
      </w:r>
    </w:p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A interpretacao correta e prudente: os dados indicam associacao entre atraso e pior satisfacao. Nao se afirma causalidade absoluta, mas a evidencia e forte o suficiente para sustentar uma recomendacao operacional e reputacional.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232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review_por_atra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3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637381"/>
          <w:sz w:val="16"/>
        </w:rPr>
        <w:t>Figura 3 - Distribuicao de review_score por atraso. Pedidos atrasados apresentam distribuicao de notas significativamente pior.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4212C"/>
        </w:rPr>
        <w:t>5. Achado 3 - O problema logistico e priorizavel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5FF"/>
            <w:tcBorders>
              <w:top w:sz="8" w:val="single" w:color="13202D"/>
              <w:left w:sz="24" w:val="single" w:color="13202D"/>
              <w:bottom w:sz="8" w:val="single" w:color="13202D"/>
              <w:right w:sz="8" w:val="single" w:color="13202D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14212C"/>
                <w:sz w:val="20"/>
              </w:rPr>
              <w:t>Leitura executiva</w:t>
            </w:r>
          </w:p>
          <w:p>
            <w:pPr>
              <w:spacing w:after="0"/>
            </w:pPr>
            <w:r>
              <w:rPr>
                <w:color w:val="425466"/>
                <w:sz w:val="19"/>
              </w:rPr>
              <w:t>O problema logistico nao e homogeneo. Parte relevante do risco aparece concentrada em sellers especificos, permitindo plano direcionado em vez de acao generica sobre toda a base.</w:t>
            </w:r>
          </w:p>
        </w:tc>
      </w:tr>
    </w:tbl>
    <w:p/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Foi criado um score de risco para sellers detratores combinando volume de pedidos, taxa de atraso e impacto em nota. O objetivo do indicador nao e provar causalidade individual, mas priorizar onde a acao operacional tende a ser mais relevante.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1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10_sellers_detrat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1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637381"/>
          <w:sz w:val="16"/>
        </w:rPr>
        <w:t>Figura 4 - Top 10 sellers detratores por score de risco.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4212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Seller</w:t>
            </w:r>
          </w:p>
        </w:tc>
        <w:tc>
          <w:tcPr>
            <w:tcW w:type="dxa" w:w="2556"/>
            <w:shd w:fill="14212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Pedidos</w:t>
            </w:r>
          </w:p>
        </w:tc>
        <w:tc>
          <w:tcPr>
            <w:tcW w:type="dxa" w:w="2556"/>
            <w:shd w:fill="14212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% atraso</w:t>
            </w:r>
          </w:p>
        </w:tc>
        <w:tc>
          <w:tcPr>
            <w:tcW w:type="dxa" w:w="2556"/>
            <w:shd w:fill="14212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Score risco</w:t>
            </w:r>
          </w:p>
        </w:tc>
      </w:tr>
      <w:tr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4a3ca9...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1.772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11,00%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315,80</w:t>
            </w:r>
          </w:p>
        </w:tc>
      </w:tr>
      <w:tr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4869f7...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1.124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11,57%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281,37</w:t>
            </w:r>
          </w:p>
        </w:tc>
      </w:tr>
      <w:tr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1f50f9...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1.399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10,58%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271,00</w:t>
            </w:r>
          </w:p>
        </w:tc>
      </w:tr>
      <w:tr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cc419e...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1.651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6,12%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176,15</w:t>
            </w:r>
          </w:p>
        </w:tc>
      </w:tr>
      <w:tr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8b321b...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930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10,43%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175,55</w:t>
            </w:r>
          </w:p>
        </w:tc>
      </w:tr>
    </w:tbl>
    <w:p/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A priorizacao recomendada e atuar primeiro nos sellers que combinam escala com atraso e impacto em satisfacao. Isso direciona recursos para pontos de maior dano percebido e evita iniciativas pouco focadas.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4212C"/>
        </w:rPr>
        <w:t>6. Achado 4 - Recompra e oportunidade de retencao seletiva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7F0"/>
            <w:tcBorders>
              <w:top w:sz="8" w:val="single" w:color="1D9A63"/>
              <w:left w:sz="24" w:val="single" w:color="1D9A63"/>
              <w:bottom w:sz="8" w:val="single" w:color="1D9A63"/>
              <w:right w:sz="8" w:val="single" w:color="1D9A63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14212C"/>
                <w:sz w:val="20"/>
              </w:rPr>
              <w:t>Leitura executiva</w:t>
            </w:r>
          </w:p>
          <w:p>
            <w:pPr>
              <w:spacing w:after="0"/>
            </w:pPr>
            <w:r>
              <w:rPr>
                <w:color w:val="425466"/>
                <w:sz w:val="19"/>
              </w:rPr>
              <w:t>A recompra ainda e pequena frente ao volume de aquisicao. Isso nao invalida a agenda de retencao; ao contrario, indica espaco para expansao seletiva nas categorias que ja demonstram tracao.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CLIENTES UNICOS</w:t>
            </w:r>
          </w:p>
          <w:p>
            <w:r>
              <w:rPr>
                <w:b/>
                <w:color w:val="1D9A63"/>
                <w:sz w:val="30"/>
              </w:rPr>
              <w:t>94.703</w:t>
            </w:r>
          </w:p>
          <w:p>
            <w:r>
              <w:rPr>
                <w:color w:val="637381"/>
                <w:sz w:val="16"/>
              </w:rPr>
              <w:t>Base total observada</w:t>
            </w:r>
          </w:p>
        </w:tc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FREQUENCIA MEDIA</w:t>
            </w:r>
          </w:p>
          <w:p>
            <w:r>
              <w:rPr>
                <w:b/>
                <w:color w:val="14212C"/>
                <w:sz w:val="30"/>
              </w:rPr>
              <w:t>1,03</w:t>
            </w:r>
          </w:p>
          <w:p>
            <w:r>
              <w:rPr>
                <w:color w:val="637381"/>
                <w:sz w:val="16"/>
              </w:rPr>
              <w:t>Compras por cliente</w:t>
            </w:r>
          </w:p>
        </w:tc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COM RECOMPRA</w:t>
            </w:r>
          </w:p>
          <w:p>
            <w:r>
              <w:rPr>
                <w:b/>
                <w:color w:val="14212C"/>
                <w:sz w:val="30"/>
              </w:rPr>
              <w:t>3,04%</w:t>
            </w:r>
          </w:p>
          <w:p>
            <w:r>
              <w:rPr>
                <w:color w:val="637381"/>
                <w:sz w:val="16"/>
              </w:rPr>
              <w:t>Parcela ainda pequena</w:t>
            </w:r>
          </w:p>
        </w:tc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RECEITA DA BASE</w:t>
            </w:r>
          </w:p>
          <w:p>
            <w:r>
              <w:rPr>
                <w:b/>
                <w:color w:val="1D9A63"/>
                <w:sz w:val="30"/>
              </w:rPr>
              <w:t>R$ 886,6 mil</w:t>
            </w:r>
          </w:p>
          <w:p>
            <w:r>
              <w:rPr>
                <w:color w:val="637381"/>
                <w:sz w:val="16"/>
              </w:rPr>
              <w:t>Clientes com recompra</w:t>
            </w:r>
          </w:p>
        </w:tc>
      </w:tr>
    </w:tbl>
    <w:p/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A base de clientes e majoritariamente composta por clientes novos ou de compra unica. Esse comportamento indica que a principal oportunidade nao e afirmar que a recompra ja gera ticket superior, mas sim tratar recompra como agenda de frequencia, relacionamento e retencao seletiva.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932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os_vs_recompra_m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9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637381"/>
          <w:sz w:val="16"/>
        </w:rPr>
        <w:t>Figura 5 - Novos clientes vs clientes com recompra por mes.</w:t>
      </w:r>
    </w:p>
    <w:p>
      <w:pPr>
        <w:pStyle w:val="Heading2"/>
      </w:pPr>
      <w:r>
        <w:rPr>
          <w:rFonts w:ascii="Arial" w:hAnsi="Arial"/>
          <w:color w:val="142132"/>
        </w:rPr>
        <w:t>6.1 Categorias mais relevantes na base com recompra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4212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3408"/>
            <w:shd w:fill="14212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Receita da base com recompra</w:t>
            </w:r>
          </w:p>
        </w:tc>
        <w:tc>
          <w:tcPr>
            <w:tcW w:type="dxa" w:w="3408"/>
            <w:shd w:fill="14212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Share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bed_bath_table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R$ 117.790,67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13,29%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sports_leisure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R$ 87.049,48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9,82%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furniture_decor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R$ 79.087,92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8,92%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computers_accessories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R$ 72.204,22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8,14%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health_beauty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R$ 64.467,84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7,27%</w:t>
            </w:r>
          </w:p>
        </w:tc>
      </w:tr>
    </w:tbl>
    <w:p/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A recomendacao e trabalhar recompra de forma seletiva nas categorias que ja demonstram tracao, como cama, mesa e banho, esporte e lazer, moveis e decoracao, informatica e acessorios e saude e beleza.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4212C"/>
        </w:rPr>
        <w:t>7. Cenario executivo M+1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5FF"/>
            <w:tcBorders>
              <w:top w:sz="8" w:val="single" w:color="13202D"/>
              <w:left w:sz="24" w:val="single" w:color="13202D"/>
              <w:bottom w:sz="8" w:val="single" w:color="13202D"/>
              <w:right w:sz="8" w:val="single" w:color="13202D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14212C"/>
                <w:sz w:val="20"/>
              </w:rPr>
              <w:t>Leitura executiva</w:t>
            </w:r>
          </w:p>
          <w:p>
            <w:pPr>
              <w:spacing w:after="0"/>
            </w:pPr>
            <w:r>
              <w:rPr>
                <w:color w:val="425466"/>
                <w:sz w:val="19"/>
              </w:rPr>
              <w:t>O cenario M+1 representa uma simulacao mensal orientada por hipoteses de melhoria. Ele dimensiona a relevancia economica potencial das alavancas priorizadas, sem ser uma previsao causal exata.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BASELINE M+1</w:t>
            </w:r>
          </w:p>
          <w:p>
            <w:r>
              <w:rPr>
                <w:b/>
                <w:color w:val="1D9A63"/>
                <w:sz w:val="30"/>
              </w:rPr>
              <w:t>R$ 87,17 mi</w:t>
            </w:r>
          </w:p>
          <w:p>
            <w:r>
              <w:rPr>
                <w:color w:val="637381"/>
                <w:sz w:val="16"/>
              </w:rPr>
              <w:t>Patamar mensal de referencia</w:t>
            </w:r>
          </w:p>
        </w:tc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CENARIO SIMULADO</w:t>
            </w:r>
          </w:p>
          <w:p>
            <w:r>
              <w:rPr>
                <w:b/>
                <w:color w:val="14212C"/>
                <w:sz w:val="30"/>
              </w:rPr>
              <w:t>R$ 106,24 mi</w:t>
            </w:r>
          </w:p>
          <w:p>
            <w:r>
              <w:rPr>
                <w:color w:val="637381"/>
                <w:sz w:val="16"/>
              </w:rPr>
              <w:t>Potencial mensal com ativacao combinada</w:t>
            </w:r>
          </w:p>
        </w:tc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GANHO INCREMENTAL</w:t>
            </w:r>
          </w:p>
          <w:p>
            <w:r>
              <w:rPr>
                <w:b/>
                <w:color w:val="14212C"/>
                <w:sz w:val="30"/>
              </w:rPr>
              <w:t>R$ 19,07 mi</w:t>
            </w:r>
          </w:p>
          <w:p>
            <w:r>
              <w:rPr>
                <w:color w:val="637381"/>
                <w:sz w:val="16"/>
              </w:rPr>
              <w:t>Valor adicional estimado</w:t>
            </w:r>
          </w:p>
        </w:tc>
        <w:tc>
          <w:tcPr>
            <w:tcW w:type="dxa" w:w="2556"/>
            <w:shd w:fill="FFFFFF"/>
            <w:tcBorders>
              <w:top w:sz="4" w:val="single" w:color="D8E1EA"/>
              <w:left w:sz="4" w:val="single" w:color="D8E1EA"/>
              <w:bottom w:sz="4" w:val="single" w:color="D8E1EA"/>
              <w:right w:sz="4" w:val="single" w:color="D8E1EA"/>
            </w:tcBorders>
          </w:tcPr>
          <w:p>
            <w:pPr>
              <w:jc w:val="left"/>
            </w:pPr>
            <w:r>
              <w:rPr>
                <w:b/>
                <w:color w:val="637381"/>
                <w:sz w:val="15"/>
              </w:rPr>
              <w:t>GANHO PROJETADO</w:t>
            </w:r>
          </w:p>
          <w:p>
            <w:r>
              <w:rPr>
                <w:b/>
                <w:color w:val="1D9A63"/>
                <w:sz w:val="30"/>
              </w:rPr>
              <w:t>+21,87%</w:t>
            </w:r>
          </w:p>
          <w:p>
            <w:r>
              <w:rPr>
                <w:color w:val="637381"/>
                <w:sz w:val="16"/>
              </w:rPr>
              <w:t>Magnitude percentual do cenario</w:t>
            </w:r>
          </w:p>
        </w:tc>
      </w:tr>
    </w:tbl>
    <w:p/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Os valores do cenario M+1 foram calculados no modelo executivo de Power BI/Excel e devem ser interpretados separadamente da camada estatistica complementar, que opera com recorte comercial tratado. O objetivo e traduzir a ordem de grandeza do potencial de captura de valor, nao reconciliar os dois ambientes como se fossem uma unica tabela contabil.</w:t>
      </w:r>
    </w:p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A leitura recomendada e: se a Olist capturar melhor o potencial dos sellers estrategicos, reduzir atrito logistico e ampliar retencao onde ja existe tracao, o cenario simulado indica espaco relevante de ganho mensal.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4212C"/>
        </w:rPr>
        <w:t>8. Recomendacoes executivas</w:t>
      </w:r>
    </w:p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A partir dos achados, as recomendacoes foram organizadas em ordem de prioridade para facilitar acao executiva e conexao com decisao de investimento.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4212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3408"/>
            <w:shd w:fill="14212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Recomendacao</w:t>
            </w:r>
          </w:p>
        </w:tc>
        <w:tc>
          <w:tcPr>
            <w:tcW w:type="dxa" w:w="3408"/>
            <w:shd w:fill="14212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Justificativa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Escalar sellers estrategicos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Usar sellers com maior tracao como frente de expansao seletiva e alocacao comercial.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Atacar ofensores logisticos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Priorizar sellers detratores que combinam volume, atraso e impacto em nota.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Retencao seletiva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Trabalhar recompra em categorias com tracao recorrente, sem assumir ticket superior automatico.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Monitorar atraso como experiencia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Atraso deve ser acompanhado como indicador de reputacao e satisfacao, nao apenas SLA operacional.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Usar cenarios como priorizacao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Cenarios devem apoiar decisao e planejamento, sem serem tratados como previsao deterministica.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4212C"/>
        </w:rPr>
        <w:t>9. Governanca, qualidade e reproducibilidade</w:t>
      </w:r>
    </w:p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A governanca da analise foi estruturada para reduzir risco de interpretacao indevida. A narrativa principal utiliza apenas graficos e indicadores de facil sustentacao executiva. Analises mais sensiveis, como regressao, correlacao simples, graficos de controle e ticket medio por grupo de recompra, foram movidas para apendice tecnico ou removidas da defesa principal.</w:t>
      </w:r>
    </w:p>
    <w:p>
      <w:pPr>
        <w:pStyle w:val="Heading2"/>
      </w:pPr>
      <w:r>
        <w:rPr>
          <w:rFonts w:ascii="Arial" w:hAnsi="Arial"/>
          <w:color w:val="142132"/>
        </w:rPr>
        <w:t>9.1 Evidencias mantidas na narrativa principal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Pareto de receita por cidade: sustenta concentracao geografica.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Pareto de receita por categoria: sustenta concentracao de mix.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Boxplot de review_score por atraso: sustenta pior satisfacao em pedidos atrasados.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Top 10 sellers detratores: sustenta priorizacao operacional.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Novos clientes vs clientes com recompra: sustenta oportunidade de retencao.</w:t>
      </w:r>
    </w:p>
    <w:p>
      <w:pPr>
        <w:pStyle w:val="Heading2"/>
      </w:pPr>
      <w:r>
        <w:rPr>
          <w:rFonts w:ascii="Arial" w:hAnsi="Arial"/>
          <w:color w:val="142132"/>
        </w:rPr>
        <w:t>9.2 Analises tratadas com cautela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Regressao e correlacao simples: amostra mensal curta e possivel colinearidade; nao usadas como prova causal.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Graficos de controle: serie com tendencia; usados apenas como leitura exploratoria.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Taxa de atraso mensal: deve ser reconciliada com a definicao do Power BI antes de virar headline.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Ticket medio por grupo de recompra: nao deve ser usado para afirmar maior valor financeiro por cliente recorrente.</w:t>
      </w:r>
    </w:p>
    <w:p>
      <w:pPr>
        <w:pStyle w:val="Heading2"/>
      </w:pPr>
      <w:r>
        <w:rPr>
          <w:rFonts w:ascii="Arial" w:hAnsi="Arial"/>
          <w:color w:val="142132"/>
        </w:rPr>
        <w:t>9.3 Limitacoes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A base e observacional e nao sustenta causalidade definitiva.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Nem todo pedido recebeu review, o que pode introduzir vies de selecao.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A leitura mensal pode ser sensivel a meses especificos e a amostra curta.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O score de seller detrator e ferramenta de priorizacao, nao diagnostico causal definitivo.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O cenario M+1 e hipotese executiva, nao promessa de resultado automatico.</w:t>
      </w:r>
    </w:p>
    <w:p>
      <w:pPr>
        <w:pStyle w:val="Heading1"/>
      </w:pPr>
      <w:r>
        <w:rPr>
          <w:rFonts w:ascii="Arial" w:hAnsi="Arial"/>
          <w:color w:val="14212C"/>
        </w:rPr>
        <w:t>10. Conclusao</w:t>
      </w:r>
    </w:p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A analise mostra que o crescimento sustentavel da Olist depende menos de expansao difusa e mais de priorizacao. A empresa possui tracao comercial, mas a receita esta concentrada em poucos polos e categorias. A logistica aparece como principal fonte de erosao de valor percebido, uma vez que pedidos atrasados apresentam avaliacao significativamente inferior. Ao mesmo tempo, a existencia de sellers detratores permite transformar o diagnostico em acao objetiva.</w:t>
      </w:r>
    </w:p>
    <w:p>
      <w:pPr>
        <w:pStyle w:val="BodyText"/>
        <w:spacing w:after="120" w:line="259" w:lineRule="auto"/>
      </w:pPr>
      <w:r>
        <w:rPr>
          <w:rFonts w:ascii="Arial" w:hAnsi="Arial"/>
          <w:color w:val="425466"/>
          <w:sz w:val="20"/>
        </w:rPr>
        <w:t>A recomendacao executiva e combinar tres frentes: escalar sellers estrategicos, reduzir friccao logistica nos ofensores de maior risco e desenvolver retencao seletiva nas categorias com tracao recorrente. O cenario M+1 ajuda a dimensionar o potencial economico dessa agenda, desde que interpretado como simulacao de apoio a decisao, e nao como previsao causal exata.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7F0"/>
            <w:tcBorders>
              <w:top w:sz="8" w:val="single" w:color="1D9A63"/>
              <w:left w:sz="24" w:val="single" w:color="1D9A63"/>
              <w:bottom w:sz="8" w:val="single" w:color="1D9A63"/>
              <w:right w:sz="8" w:val="single" w:color="1D9A63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14212C"/>
                <w:sz w:val="20"/>
              </w:rPr>
              <w:t>Mensagem final</w:t>
            </w:r>
          </w:p>
          <w:p>
            <w:pPr>
              <w:spacing w:after="0"/>
            </w:pPr>
            <w:r>
              <w:rPr>
                <w:color w:val="425466"/>
                <w:sz w:val="19"/>
              </w:rPr>
              <w:t>Ampliar o que ja traciona, corrigir onde o valor e corroido e usar cenarios como apoio a decisao: esse e o caminho mais defensavel para capturar valor futuro na Olist.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4212C"/>
        </w:rPr>
        <w:t>Apendice tecnico</w:t>
      </w:r>
    </w:p>
    <w:p>
      <w:pPr>
        <w:pStyle w:val="Heading2"/>
      </w:pPr>
      <w:r>
        <w:rPr>
          <w:rFonts w:ascii="Arial" w:hAnsi="Arial"/>
          <w:color w:val="142132"/>
        </w:rPr>
        <w:t>A. Arquivos carregados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4212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3408"/>
            <w:shd w:fill="14212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Arquivo</w:t>
            </w:r>
          </w:p>
        </w:tc>
        <w:tc>
          <w:tcPr>
            <w:tcW w:type="dxa" w:w="3408"/>
            <w:shd w:fill="14212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Linhas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customers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olist_customers_dataset.csv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99.441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orders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olist_orders_dataset.csv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99.441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order_items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olist_order_items_dataset.csv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112.650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order_payments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olist_order_payments_dataset.csv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103.886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order_reviews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olist_order_reviews_dataset.csv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99.224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products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olist_products_dataset.csv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32.951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sellers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olist_sellers_dataset.csv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3.095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geolocation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olist_geolocation_dataset.csv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1.000.163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translation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product_category_name_translation.csv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71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42132"/>
        </w:rPr>
        <w:t>B. Graficos movidos para apendice tecnico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receita_mensal.png e pedidos_mensais.png: suporte de tracao, nao headline.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pareto_receita_seller.png: complementar para concentracao por seller.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dispersao_volume_vs_taxa_atraso_seller.png: util para investigacao operacional detalhada.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controle_receita_mensal.png, controle_pedidos_mensais.png e controle_nota_media.png: leitura exploratoria, pois a serie possui tendencia.</w:t>
      </w:r>
    </w:p>
    <w:p>
      <w:pPr>
        <w:pStyle w:val="BodyText"/>
        <w:spacing w:after="120" w:line="259" w:lineRule="auto"/>
      </w:pPr>
      <w:r>
        <w:rPr>
          <w:b/>
          <w:color w:val="14212C"/>
          <w:sz w:val="20"/>
        </w:rPr>
        <w:t>•</w:t>
      </w:r>
      <w:r>
        <w:t xml:space="preserve"> </w:t>
      </w:r>
      <w:r>
        <w:rPr>
          <w:rFonts w:ascii="Arial" w:hAnsi="Arial"/>
          <w:color w:val="425466"/>
          <w:sz w:val="20"/>
        </w:rPr>
        <w:t>coeficientes_regressao.png e correlacao_drivers.png: removidos da narrativa principal por risco de interpretacao indevida.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381"/>
        <w:sz w:val="16"/>
      </w:rPr>
      <w:t>Tech Challenge Olist Data | Relatorio Executivo | Leonardo Montagner de Ramos Vallim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21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21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