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D9A63"/>
          <w:sz w:val="18"/>
        </w:rPr>
        <w:t>TECH CHALLENGE · DATA ANALYTICS</w:t>
      </w:r>
    </w:p>
    <w:p>
      <w:r>
        <w:rPr>
          <w:b/>
          <w:color w:val="14212C"/>
          <w:sz w:val="48"/>
        </w:rPr>
        <w:t>Relatório Executivo</w:t>
        <w:br/>
        <w:t>Tech Challenge Olist Data</w:t>
      </w:r>
    </w:p>
    <w:p>
      <w:r>
        <w:rPr>
          <w:color w:val="637381"/>
          <w:sz w:val="22"/>
        </w:rPr>
        <w:t>Desempenho comercial, eficiência logística, satisfação do cliente e alavancas de captura de valor no e-commerce Olist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/>
                <w:sz w:val="20"/>
              </w:rPr>
              <w:t>Tese central</w:t>
            </w:r>
          </w:p>
          <w:p>
            <w:r>
              <w:rPr>
                <w:rFonts w:ascii="Aptos" w:hAnsi="Aptos" w:eastAsia="Aptos"/>
                <w:sz w:val="20"/>
              </w:rPr>
              <w:t>A Olist cresceu, mas de forma concentrada; o principal fator de erosão de valor está na logística; e o maior potencial de ganho futuro está em ampliar sellers estratégicos com apoio de retenção e disciplina operacional.</w:t>
            </w:r>
          </w:p>
        </w:tc>
      </w:tr>
    </w:tbl>
    <w:p>
      <w:r>
        <w:rPr>
          <w:sz w:val="20"/>
        </w:rPr>
        <w:t>Autor: Leonardo Montagner de Ramos Vallim</w:t>
      </w:r>
    </w:p>
    <w:p>
      <w:r>
        <w:rPr>
          <w:sz w:val="20"/>
        </w:rPr>
        <w:t>Curso: Data Analytics</w:t>
      </w:r>
    </w:p>
    <w:p>
      <w:r>
        <w:rPr>
          <w:sz w:val="20"/>
        </w:rPr>
        <w:t>Base analisada: Brazilian E-Commerce Public Dataset by Olist</w:t>
      </w:r>
    </w:p>
    <w:p>
      <w:r>
        <w:rPr>
          <w:sz w:val="20"/>
        </w:rPr>
        <w:t>Recorte principal: janeiro de 2017 a agosto de 2018</w:t>
      </w:r>
    </w:p>
    <w:p>
      <w:r>
        <w:rPr>
          <w:sz w:val="20"/>
        </w:rPr>
        <w:t>Fonte oficial dos KPIs executivos: dashboard Power BI; camada Python usada como validação estatística complementar.</w:t>
      </w:r>
    </w:p>
    <w:p>
      <w:pPr>
        <w:pStyle w:val="Heading1"/>
      </w:pPr>
      <w:r>
        <w:t>Sumário executivo</w:t>
      </w:r>
    </w:p>
    <w:p>
      <w:r>
        <w:t>Este relatório transforma a base transacional da Olist em uma leitura executiva voltada à decisão. O foco é identificar onde há criação de valor, onde há perda de valor percebido e quais alavancas são mais defensáveis para sustentar crescimento futuro.</w:t>
      </w:r>
    </w:p>
    <w:p>
      <w:r>
        <w:t>A versão final foi alinhada ao dashboard Power BI, que passa a ser a fonte oficial dos KPIs executivos. A análise em Python permanece como camada estatística complementar, usada para validar padrões de concentração, atraso, satisfação, sellers e recompra.</w:t>
      </w:r>
    </w:p>
    <w:p>
      <w:r>
        <w:t>A análise indica tração comercial relevante, mas concentrada em polos geográficos, categorias líderes e sellers específicos. A principal evidência de erosão de valor está na logística: pedidos atrasados apresentam avaliações substancialmente piores do que pedidos no prazo. A recompra, por sua vez, ainda é pequena e deve ser tratada como oportunidade de retenção seletiva.</w:t>
      </w:r>
    </w:p>
    <w:p>
      <w:pPr>
        <w:pStyle w:val="Heading2"/>
      </w:pPr>
      <w:r>
        <w:t>Principais conclusões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  <w:shd w:fill="13202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  <w:shd w:fill="13202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Conclusão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  <w:shd w:fill="13202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Crescimento concentrado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Paretos de cidade e categoria indicam concentração relevante de receita em poucos polos e frentes de consumo.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Atraso corrói satisfação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No BI, a nota cai de 4,29 no prazo para 2,27 com atraso; o boxplot estatístico reforça a diferença entre os grupos.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Sellers detratores são priorizáveis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A leitura combina volume, taxa de atraso e impacto em nota para orientar ação operacional seletiva.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Recompra é oportunidade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A regra oficial do BI indica apenas 0,18% de clientes com recompra, reforçando espaço para retenção seletiva.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Cenário como apoio à decisão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O cenário M+1 indica ganho potencial de 21,87%, tratado como simulação executiva e não previsão causal.</w:t>
            </w:r>
          </w:p>
        </w:tc>
      </w:tr>
    </w:tbl>
    <w:p>
      <w:pPr>
        <w:pStyle w:val="Heading1"/>
      </w:pPr>
      <w:r>
        <w:t>1. Contexto e objetivo</w:t>
      </w:r>
    </w:p>
    <w:p>
      <w:r>
        <w:t>O Tech Challenge Olist Data tem como objetivo construir uma leitura executiva para investidores e acionistas do setor de e-commerce a partir da base pública da Olist. O desafio central é transformar dados transacionais em uma narrativa clara sobre desempenho comercial, eficiência logística, satisfação do cliente e recomendações acionáveis.</w:t>
      </w:r>
    </w:p>
    <w:p>
      <w:r>
        <w:t>A pergunta executiva que orienta este relatório é: onde a Olist cria valor, onde perde valor e quais movimentos devem ser priorizados para sustentar crescimento futuro?</w:t>
      </w:r>
    </w:p>
    <w:p>
      <w:pPr>
        <w:pStyle w:val="Heading2"/>
      </w:pPr>
      <w:r>
        <w:t>1.1 Perguntas de negócio</w:t>
      </w:r>
    </w:p>
    <w:p>
      <w:pPr>
        <w:ind w:left="216"/>
      </w:pPr>
      <w:r>
        <w:t>• Onde o crescimento comercial está concentrado e quais riscos de dependência isso gera?</w:t>
      </w:r>
    </w:p>
    <w:p>
      <w:pPr>
        <w:ind w:left="216"/>
      </w:pPr>
      <w:r>
        <w:t>• Como atrasos logísticos se relacionam com a satisfação do cliente?</w:t>
      </w:r>
    </w:p>
    <w:p>
      <w:pPr>
        <w:ind w:left="216"/>
      </w:pPr>
      <w:r>
        <w:t>• Quais sellers apresentam maior risco operacional e devem ser priorizados?</w:t>
      </w:r>
    </w:p>
    <w:p>
      <w:pPr>
        <w:ind w:left="216"/>
      </w:pPr>
      <w:r>
        <w:t>• A recompra representa uma oportunidade de retenção seletiva?</w:t>
      </w:r>
    </w:p>
    <w:p>
      <w:pPr>
        <w:ind w:left="216"/>
      </w:pPr>
      <w:r>
        <w:t>• Como traduzir os achados em recomendações executivas e cenário de captura de valor?</w:t>
      </w:r>
    </w:p>
    <w:p>
      <w:pPr>
        <w:pStyle w:val="Heading1"/>
      </w:pPr>
      <w:r>
        <w:t>2. Base de dados, filtros e metodologia</w:t>
      </w:r>
    </w:p>
    <w:p>
      <w:r>
        <w:t>A análise utilizou os CSVs do Brazilian E-Commerce Public Dataset by Olist, incluindo dados de clientes, pedidos, itens, pagamentos, avaliações, produtos, sellers, geolocalização e tradução de categorias.</w:t>
      </w:r>
    </w:p>
    <w:p>
      <w:r>
        <w:t>Para evitar conflito entre leituras, a versão final separa claramente duas camadas: o Power BI consolida os KPIs executivos oficiais, enquanto o Python atua como validação estatística complementar. Os KPIs do painel consideram a regra oficial do dashboard, com receita de produtos e leitura executiva por pedidos entregues.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RECEITA PRODUTOS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R$ 13,17 mi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Fonte oficial: Power BI</w:t>
            </w:r>
          </w:p>
        </w:tc>
        <w:tc>
          <w:tcPr>
            <w:tcW w:type="dxa" w:w="2556"/>
            <w:shd w:fill="F8FAFC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PEDIDOS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99.090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Pedidos no painel executivo</w:t>
            </w:r>
          </w:p>
        </w:tc>
        <w:tc>
          <w:tcPr>
            <w:tcW w:type="dxa" w:w="2556"/>
            <w:shd w:fill="F8FAFC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TICKET MÉDIO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R$ 136,66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Receita de produtos por pedido</w:t>
            </w:r>
          </w:p>
        </w:tc>
        <w:tc>
          <w:tcPr>
            <w:tcW w:type="dxa" w:w="2556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CLIENTES ÚNICOS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95.774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Base ativa no dashboard</w:t>
            </w:r>
          </w:p>
        </w:tc>
      </w:tr>
    </w:tbl>
    <w:p>
      <w:pPr>
        <w:pStyle w:val="Heading2"/>
      </w:pPr>
      <w:r>
        <w:t>2.1 Principais regras de tratamento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  <w:shd w:fill="13202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112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  <w:shd w:fill="13202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Regra aplicada</w:t>
            </w:r>
          </w:p>
        </w:tc>
      </w:tr>
      <w:tr>
        <w:tc>
          <w:tcPr>
            <w:tcW w:type="dxa" w:w="5112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Período principal</w:t>
            </w:r>
          </w:p>
        </w:tc>
        <w:tc>
          <w:tcPr>
            <w:tcW w:type="dxa" w:w="5112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Jan/2017 a Ago/2018</w:t>
            </w:r>
          </w:p>
        </w:tc>
      </w:tr>
      <w:tr>
        <w:tc>
          <w:tcPr>
            <w:tcW w:type="dxa" w:w="5112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KPIs executivos</w:t>
            </w:r>
          </w:p>
        </w:tc>
        <w:tc>
          <w:tcPr>
            <w:tcW w:type="dxa" w:w="5112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Consolidados no Power BI, usando a regra oficial do modelo semântico.</w:t>
            </w:r>
          </w:p>
        </w:tc>
      </w:tr>
      <w:tr>
        <w:tc>
          <w:tcPr>
            <w:tcW w:type="dxa" w:w="5112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Receita executiva</w:t>
            </w:r>
          </w:p>
        </w:tc>
        <w:tc>
          <w:tcPr>
            <w:tcW w:type="dxa" w:w="5112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Receita de produtos, sem frete, conforme medida oficial do dashboard.</w:t>
            </w:r>
          </w:p>
        </w:tc>
      </w:tr>
      <w:tr>
        <w:tc>
          <w:tcPr>
            <w:tcW w:type="dxa" w:w="5112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Atraso logístico</w:t>
            </w:r>
          </w:p>
        </w:tc>
        <w:tc>
          <w:tcPr>
            <w:tcW w:type="dxa" w:w="5112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Pedidos entregues com datas válidas e entrega posterior à data estimada.</w:t>
            </w:r>
          </w:p>
        </w:tc>
      </w:tr>
      <w:tr>
        <w:tc>
          <w:tcPr>
            <w:tcW w:type="dxa" w:w="5112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Python</w:t>
            </w:r>
          </w:p>
        </w:tc>
        <w:tc>
          <w:tcPr>
            <w:tcW w:type="dxa" w:w="5112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Camada complementar para Paretos, boxplot, ranking de risco e leitura exploratória.</w:t>
            </w:r>
          </w:p>
        </w:tc>
      </w:tr>
      <w:tr>
        <w:tc>
          <w:tcPr>
            <w:tcW w:type="dxa" w:w="5112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Interpretação estatística</w:t>
            </w:r>
          </w:p>
        </w:tc>
        <w:tc>
          <w:tcPr>
            <w:tcW w:type="dxa" w:w="5112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Associação observada, não causalidade definitiva.</w:t>
            </w:r>
          </w:p>
        </w:tc>
      </w:tr>
    </w:tbl>
    <w:p>
      <w:pPr>
        <w:pStyle w:val="Heading1"/>
      </w:pPr>
      <w:r>
        <w:t>3. Achado 1 - Crescimento existe, mas é concentrado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sz w:val="18"/>
              </w:rPr>
              <w:t>Leitura executiva</w:t>
            </w:r>
          </w:p>
          <w:p>
            <w:r>
              <w:rPr>
                <w:rFonts w:ascii="Aptos" w:hAnsi="Aptos" w:eastAsia="Aptos"/>
                <w:sz w:val="18"/>
              </w:rPr>
              <w:t>A Olist ganhou escala comercial, mas o valor não está totalmente pulverizado. A concentração em cidades e categorias reforça tração, mas também indica dependência de poucos motores de crescimento.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RECEITA PRODUTOS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R$ 13,17 mi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KPI oficial do BI</w:t>
            </w:r>
          </w:p>
        </w:tc>
        <w:tc>
          <w:tcPr>
            <w:tcW w:type="dxa" w:w="2556"/>
            <w:shd w:fill="F8FAFC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PEDIDOS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99.090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Volume do painel</w:t>
            </w:r>
          </w:p>
        </w:tc>
        <w:tc>
          <w:tcPr>
            <w:tcW w:type="dxa" w:w="2556"/>
            <w:shd w:fill="F8FAFC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TICKET MÉDIO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R$ 136,66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Valor médio por pedido</w:t>
            </w:r>
          </w:p>
        </w:tc>
        <w:tc>
          <w:tcPr>
            <w:tcW w:type="dxa" w:w="2556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LEITURA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Concentração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Paretos como validação complementar</w:t>
            </w:r>
          </w:p>
        </w:tc>
      </w:tr>
    </w:tbl>
    <w:p>
      <w:r>
        <w:t>Os Paretos de receita por cidade e categoria foram mantidos como evidência complementar porque sustentam a tese de concentração. Eles não competem com os cards financeiros do Power BI; servem para mostrar que a receita tende a se concentrar em poucos polos e frentes de consumo.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67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receita_cida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67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37381"/>
          <w:sz w:val="16"/>
        </w:rPr>
        <w:t>Figura 1 - Pareto de receita por cidade. A concentração em grandes centros sustenta a tese de crescimento concentrado.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73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receita_catego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3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37381"/>
          <w:sz w:val="16"/>
        </w:rPr>
        <w:t>Figura 2 - Pareto de receita por categoria. O valor se concentra em categorias líderes, reforçando a ideia de expansão seletiva.</w:t>
      </w:r>
    </w:p>
    <w:p>
      <w:pPr>
        <w:pStyle w:val="Heading1"/>
      </w:pPr>
      <w:r>
        <w:t>4. Achado 2 - Atraso corrói valor percebido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sz w:val="18"/>
              </w:rPr>
              <w:t>Leitura executiva</w:t>
            </w:r>
          </w:p>
          <w:p>
            <w:r>
              <w:rPr>
                <w:rFonts w:ascii="Aptos" w:hAnsi="Aptos" w:eastAsia="Aptos"/>
                <w:sz w:val="18"/>
              </w:rPr>
              <w:t>Atraso não é apenas tema operacional: ele afeta a avaliação, a reputação e a percepção de valor do cliente.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NOTA NO PRAZO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4,29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Pedidos entregues dentro da promessa</w:t>
            </w:r>
          </w:p>
        </w:tc>
        <w:tc>
          <w:tcPr>
            <w:tcW w:type="dxa" w:w="2556"/>
            <w:shd w:fill="F8FAFC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NOTA COM ATRASO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2,27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Pedidos entregues depois da data estimada</w:t>
            </w:r>
          </w:p>
        </w:tc>
        <w:tc>
          <w:tcPr>
            <w:tcW w:type="dxa" w:w="2556"/>
            <w:shd w:fill="F8FAFC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IMPACTO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47%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Queda aproximada na nota</w:t>
            </w:r>
          </w:p>
        </w:tc>
        <w:tc>
          <w:tcPr>
            <w:tcW w:type="dxa" w:w="2556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ATRASADOS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7%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Share de pedidos atrasados no BI</w:t>
            </w:r>
          </w:p>
        </w:tc>
      </w:tr>
    </w:tbl>
    <w:p>
      <w:r>
        <w:t>No dashboard, pedidos entregues no prazo apresentam nota média de 4,29, enquanto pedidos atrasados caem para 2,27. A diferença é reforçada pelo boxplot estatístico, que mostra distribuição de notas claramente pior para pedidos atrasados. A interpretação correta é de associação robusta, não de causalidade absoluta.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8826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review_por_atra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82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37381"/>
          <w:sz w:val="16"/>
        </w:rPr>
        <w:t>Figura 3 - Distribuição de review_score por atraso. Pedidos atrasados apresentam distribuição de notas significativamente pior.</w:t>
      </w:r>
    </w:p>
    <w:p>
      <w:pPr>
        <w:pStyle w:val="Heading1"/>
      </w:pPr>
      <w:r>
        <w:t>5. Achado 3 - O problema logístico é priorizável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sz w:val="18"/>
              </w:rPr>
              <w:t>Leitura executiva</w:t>
            </w:r>
          </w:p>
          <w:p>
            <w:r>
              <w:rPr>
                <w:rFonts w:ascii="Aptos" w:hAnsi="Aptos" w:eastAsia="Aptos"/>
                <w:sz w:val="18"/>
              </w:rPr>
              <w:t>O problema logístico não é homogêneo. Sellers específicos concentram volume, atraso e pior experiência, permitindo ação direcionada.</w:t>
            </w:r>
          </w:p>
        </w:tc>
      </w:tr>
    </w:tbl>
    <w:p>
      <w:r>
        <w:t>A análise de sellers detratores deve ser usada como ferramenta de priorização. O objetivo não é afirmar causalidade individual por seller, mas identificar onde o impacto operacional e reputacional é mais relevante.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  <w:shd w:fill="13202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Seller</w:t>
            </w:r>
          </w:p>
        </w:tc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  <w:shd w:fill="13202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Pedidos</w:t>
            </w:r>
          </w:p>
        </w:tc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  <w:shd w:fill="13202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% atraso</w:t>
            </w:r>
          </w:p>
        </w:tc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  <w:shd w:fill="13202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Leitura executiva</w:t>
            </w:r>
          </w:p>
        </w:tc>
      </w:tr>
      <w:tr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Seller #882</w:t>
            </w:r>
          </w:p>
        </w:tc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1.772</w:t>
            </w:r>
          </w:p>
        </w:tc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9,71%</w:t>
            </w:r>
          </w:p>
        </w:tc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Alto volume e queda relevante de nota em atraso.</w:t>
            </w:r>
          </w:p>
        </w:tc>
      </w:tr>
      <w:tr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Seller #369</w:t>
            </w:r>
          </w:p>
        </w:tc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1.399</w:t>
            </w:r>
          </w:p>
        </w:tc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8,86%</w:t>
            </w:r>
          </w:p>
        </w:tc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Volume relevante e avaliação sensível ao atraso.</w:t>
            </w:r>
          </w:p>
        </w:tc>
      </w:tr>
      <w:tr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Seller #1536</w:t>
            </w:r>
          </w:p>
        </w:tc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973</w:t>
            </w:r>
          </w:p>
        </w:tc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9,15%</w:t>
            </w:r>
          </w:p>
        </w:tc>
        <w:tc>
          <w:tcPr>
            <w:tcW w:type="dxa" w:w="2556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Menor volume relativo, mas forte impacto em nota.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770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10_sellers_detrat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37381"/>
          <w:sz w:val="16"/>
        </w:rPr>
        <w:t>Figura 4 - Ranking exploratório de sellers detratores. Usado como apoio técnico para priorização operacional.</w:t>
      </w:r>
    </w:p>
    <w:p>
      <w:pPr>
        <w:pStyle w:val="Heading1"/>
      </w:pPr>
      <w:r>
        <w:t>6. Achado 4 - Recompra e oportunidade de retenção seletiva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sz w:val="18"/>
              </w:rPr>
              <w:t>Leitura executiva</w:t>
            </w:r>
          </w:p>
          <w:p>
            <w:r>
              <w:rPr>
                <w:rFonts w:ascii="Aptos" w:hAnsi="Aptos" w:eastAsia="Aptos"/>
                <w:sz w:val="18"/>
              </w:rPr>
              <w:t>A recompra ainda é pequena frente ao volume de aquisição. Isso não invalida a agenda de retenção; indica que ela deve ser seletiva e baseada nas categorias com tração.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CLIENTES ÚNICOS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95.774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Base oficial do BI</w:t>
            </w:r>
          </w:p>
        </w:tc>
        <w:tc>
          <w:tcPr>
            <w:tcW w:type="dxa" w:w="2556"/>
            <w:shd w:fill="F8FAFC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FREQUÊNCIA MÉDIA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1,03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Compras por cliente</w:t>
            </w:r>
          </w:p>
        </w:tc>
        <w:tc>
          <w:tcPr>
            <w:tcW w:type="dxa" w:w="2556"/>
            <w:shd w:fill="F8FAFC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COM RECOMPRA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0,18%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Regra oficial do Power BI</w:t>
            </w:r>
          </w:p>
        </w:tc>
        <w:tc>
          <w:tcPr>
            <w:tcW w:type="dxa" w:w="2556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LEITURA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Oportunidade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Agenda de retenção seletiva</w:t>
            </w:r>
          </w:p>
        </w:tc>
      </w:tr>
    </w:tbl>
    <w:p>
      <w:r>
        <w:t>A regra oficial do Power BI foi adotada como referência para clientes com recompra. O Python permanece como exploração analítica, mas não deve substituir a definição do modelo semântico do dashboard. Portanto, eventuais Paretos exploratórios de recompra foram tratados como apoio técnico, não como métrica oficial.</w:t>
      </w:r>
    </w:p>
    <w:p>
      <w:r>
        <w:t>Categorias com maior tração entre clientes recorrentes no dashboard: Cama, Mesa e Banho; Móveis e Decoração; Esporte e Lazer; Beleza e Saúde; Informática e Acessórios.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80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os_vs_recompra_m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37381"/>
          <w:sz w:val="16"/>
        </w:rPr>
        <w:t>Figura 5 - Novos clientes vs clientes com recompra. Visual exploratório usado para reforçar que aquisição domina a base.</w:t>
      </w:r>
    </w:p>
    <w:p>
      <w:pPr>
        <w:pStyle w:val="Heading1"/>
      </w:pPr>
      <w:r>
        <w:t>7. Cenário executivo M+1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sz w:val="18"/>
              </w:rPr>
              <w:t>Leitura executiva</w:t>
            </w:r>
          </w:p>
          <w:p>
            <w:r>
              <w:rPr>
                <w:rFonts w:ascii="Aptos" w:hAnsi="Aptos" w:eastAsia="Aptos"/>
                <w:sz w:val="18"/>
              </w:rPr>
              <w:t>O cenário M+1 representa uma simulação mensal orientada por hipóteses de melhoria. Ele dimensiona a relevância econômica potencial das alavancas priorizadas, sem ser uma previsão causal exata.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BASELINE M+1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R$ 0,87 mi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Patamar mensal de referência</w:t>
            </w:r>
          </w:p>
        </w:tc>
        <w:tc>
          <w:tcPr>
            <w:tcW w:type="dxa" w:w="2556"/>
            <w:shd w:fill="F8FAFC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CENÁRIO SIMULADO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R$ 1,06 mi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Potencial mensal com ativação combinada</w:t>
            </w:r>
          </w:p>
        </w:tc>
        <w:tc>
          <w:tcPr>
            <w:tcW w:type="dxa" w:w="2556"/>
            <w:shd w:fill="F8FAFC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GANHO INCREMENTAL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R$ 0,19 mi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Valor adicional estimado</w:t>
            </w:r>
          </w:p>
        </w:tc>
        <w:tc>
          <w:tcPr>
            <w:tcW w:type="dxa" w:w="2556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center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color w:val="637381"/>
                <w:sz w:val="18"/>
              </w:rPr>
              <w:t>GANHO PROJETADO</w:t>
            </w:r>
          </w:p>
          <w:p>
            <w:pPr>
              <w:jc w:val="center"/>
            </w:pPr>
            <w:r>
              <w:rPr>
                <w:rFonts w:ascii="Aptos" w:hAnsi="Aptos" w:eastAsia="Aptos"/>
                <w:b/>
                <w:color w:val="14212C"/>
                <w:sz w:val="18"/>
              </w:rPr>
              <w:t>+21,87%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637381"/>
                <w:sz w:val="18"/>
              </w:rPr>
              <w:t>Magnitude percentual do cenário</w:t>
            </w:r>
          </w:p>
        </w:tc>
      </w:tr>
    </w:tbl>
    <w:p>
      <w:r>
        <w:t>Os valores do cenário M+1 foram calculados no modelo executivo de Power BI/Excel. Eles devem ser interpretados como simulação executiva para priorização, não como promessa de resultado automático. A utilidade do cenário é traduzir a ordem de grandeza potencial das alavancas: sellers estratégicos, redução de atraso e retenção seletiva.</w:t>
      </w:r>
    </w:p>
    <w:p>
      <w:r>
        <w:br w:type="page"/>
      </w:r>
    </w:p>
    <w:p>
      <w:pPr>
        <w:pStyle w:val="Heading1"/>
      </w:pPr>
      <w:r>
        <w:t>8. Recomendações executivas</w:t>
      </w:r>
    </w:p>
    <w:p>
      <w:r>
        <w:t>A partir dos achados, as recomendações foram organizadas em ordem de prioridade para facilitar ação executiva e conexão com decisão de investimento.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  <w:shd w:fill="13202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  <w:shd w:fill="13202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Recomendação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  <w:shd w:fill="13202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Justificativa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1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Escalar sellers estratégicos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Usar sellers com maior tração como frente de expansão seletiva e alocação comercial.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2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Atacar ofensores logísticos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Priorizar sellers detratores que combinam volume, atraso e impacto em nota.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3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Retenção seletiva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Trabalhar recompra em categorias com tração recorrente, sem assumir ticket superior automático.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4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Monitorar atraso como experiência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Atraso deve ser acompanhado como indicador de reputação e satisfação, não apenas SLA operacional.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5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Usar cenários como priorização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Cenários devem apoiar decisão e planejamento, sem serem tratados como previsão determinística.</w:t>
            </w:r>
          </w:p>
        </w:tc>
      </w:tr>
    </w:tbl>
    <w:p>
      <w:pPr>
        <w:pStyle w:val="Heading1"/>
      </w:pPr>
      <w:r>
        <w:t>9. Governança, qualidade e reprodutibilidade</w:t>
      </w:r>
    </w:p>
    <w:p>
      <w:r>
        <w:t>A governança da análise foi estruturada para reduzir risco de interpretação indevida. O Power BI foi definido como fonte oficial dos KPIs executivos, enquanto o Python foi usado como camada complementar de validação estatística e exploração analítica.</w:t>
      </w:r>
    </w:p>
    <w:p>
      <w:pPr>
        <w:pStyle w:val="Heading2"/>
      </w:pPr>
      <w:r>
        <w:t>9.1 Evidências mantidas na narrativa principal</w:t>
      </w:r>
    </w:p>
    <w:p>
      <w:r>
        <w:t>• KPIs executivos do Power BI: receita, pedidos, ticket médio, clientes, recompra e cenário M+1.</w:t>
      </w:r>
    </w:p>
    <w:p>
      <w:r>
        <w:t>• Pareto de receita por cidade e categoria: sustentam concentração como validação complementar.</w:t>
      </w:r>
    </w:p>
    <w:p>
      <w:r>
        <w:t>• Boxplot de review_score por atraso: sustenta pior satisfação em pedidos atrasados.</w:t>
      </w:r>
    </w:p>
    <w:p>
      <w:r>
        <w:t>• Sellers detratores: sustentam priorização operacional.</w:t>
      </w:r>
    </w:p>
    <w:p>
      <w:r>
        <w:t>• Análise de recompra no BI: sustenta oportunidade de retenção seletiva.</w:t>
      </w:r>
    </w:p>
    <w:p>
      <w:pPr>
        <w:pStyle w:val="Heading2"/>
      </w:pPr>
      <w:r>
        <w:t>9.2 Análises tratadas com cautela</w:t>
      </w:r>
    </w:p>
    <w:p>
      <w:r>
        <w:t>• Regressão e correlação simples: amostra mensal curta e possível colinearidade; não usadas como prova causal.</w:t>
      </w:r>
    </w:p>
    <w:p>
      <w:r>
        <w:t>• Gráficos de controle: série com tendência; usados apenas como leitura exploratória.</w:t>
      </w:r>
    </w:p>
    <w:p>
      <w:r>
        <w:t>• Paretos de recompra do Python: tratados como fase exploratória quando divergentes da regra oficial do BI.</w:t>
      </w:r>
    </w:p>
    <w:p>
      <w:r>
        <w:t>• Ticket médio por grupo de recompra: não usado para afirmar maior valor financeiro por cliente recorrente.</w:t>
      </w:r>
    </w:p>
    <w:p>
      <w:r>
        <w:t>• Cenário M+1: hipótese executiva, não promessa de resultado automático.</w:t>
      </w:r>
    </w:p>
    <w:p>
      <w:pPr>
        <w:pStyle w:val="Heading1"/>
      </w:pPr>
      <w:r>
        <w:t>10. Conclusão</w:t>
      </w:r>
    </w:p>
    <w:p>
      <w:r>
        <w:t>A análise mostra que o crescimento sustentável da Olist depende menos de expansão difusa e mais de priorização. A empresa possui tração comercial, mas a receita se concentra em polos, categorias e sellers específicos. A logística aparece como principal fonte de erosão de valor percebido, uma vez que pedidos atrasados apresentam avaliação significativamente inferior.</w:t>
      </w:r>
    </w:p>
    <w:p>
      <w:r>
        <w:t>A recomendação executiva é combinar três frentes: escalar sellers estratégicos, reduzir fricção logística nos ofensores de maior risco e desenvolver retenção seletiva nas categorias com tração. O cenário M+1 ajuda a dimensionar o potencial econômico dessa agenda, desde que interpretado como simulação de apoio à decisão, e não como previsão causal exata.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7F0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sz w:val="18"/>
              </w:rPr>
            </w:r>
            <w:r>
              <w:rPr>
                <w:rFonts w:ascii="Aptos" w:hAnsi="Aptos" w:eastAsia="Aptos"/>
                <w:b/>
                <w:sz w:val="18"/>
              </w:rPr>
              <w:t>Mensagem final</w:t>
            </w:r>
          </w:p>
          <w:p>
            <w:r>
              <w:rPr>
                <w:rFonts w:ascii="Aptos" w:hAnsi="Aptos" w:eastAsia="Aptos"/>
                <w:sz w:val="18"/>
              </w:rPr>
              <w:t>Ampliar o que já traciona, corrigir onde o valor é corroído e usar cenários como apoio à decisão: esse é o caminho mais defensável para capturar valor futuro na Olist.</w:t>
            </w:r>
          </w:p>
        </w:tc>
      </w:tr>
    </w:tbl>
    <w:p>
      <w:pPr>
        <w:pStyle w:val="Heading1"/>
      </w:pPr>
      <w:r>
        <w:t>Apêndice técnico</w:t>
      </w:r>
    </w:p>
    <w:p>
      <w:pPr>
        <w:pStyle w:val="Heading2"/>
      </w:pPr>
      <w:r>
        <w:t>A. Arquivos carregados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  <w:shd w:fill="13202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Tabela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  <w:shd w:fill="13202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Arquivo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  <w:shd w:fill="13202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Linhas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customers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olist_customers_dataset.csv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99.441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orders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olist_orders_dataset.csv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99.441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order_items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olist_order_items_dataset.csv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112.650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order_payments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olist_order_payments_dataset.csv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103.886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order_reviews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olist_order_reviews_dataset.csv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99.224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products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olist_products_dataset.csv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32.951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sellers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olist_sellers_dataset.csv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3.095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geolocation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olist_geolocation_dataset.csv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1.000.163</w:t>
            </w:r>
          </w:p>
        </w:tc>
      </w:tr>
      <w:tr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translation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product_category_name_translation.csv</w:t>
            </w:r>
          </w:p>
        </w:tc>
        <w:tc>
          <w:tcPr>
            <w:tcW w:type="dxa" w:w="3408"/>
            <w:vAlign w:val="center"/>
            <w:tcBorders>
              <w:top w:val="single" w:sz="4" w:space="0" w:color="D8E1EA"/>
              <w:left w:val="single" w:sz="4" w:space="0" w:color="D8E1EA"/>
              <w:bottom w:val="single" w:sz="4" w:space="0" w:color="D8E1EA"/>
              <w:right w:val="single" w:sz="4" w:space="0" w:color="D8E1EA"/>
            </w:tcBorders>
          </w:tcPr>
          <w:p>
            <w:r>
              <w:rPr>
                <w:rFonts w:ascii="Aptos" w:hAnsi="Aptos" w:eastAsia="Aptos"/>
                <w:sz w:val="17"/>
              </w:rPr>
              <w:t>71</w:t>
            </w:r>
          </w:p>
        </w:tc>
      </w:tr>
    </w:tbl>
    <w:p>
      <w:pPr>
        <w:pStyle w:val="Heading2"/>
      </w:pPr>
      <w:r>
        <w:t>B. Observação metodológica final</w:t>
      </w:r>
    </w:p>
    <w:p>
      <w:r>
        <w:t>Os indicadores financeiros, de cliente e de cenário apresentados como números oficiais seguem o modelo Power BI. As saídas Python foram utilizadas para exploração estatística e validação visual dos padrões, sem substituir as regras de negócio definidas no dashboard.</w:t>
      </w:r>
    </w:p>
    <w:sectPr w:rsidR="00FC693F" w:rsidRPr="0006063C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381"/>
        <w:sz w:val="16"/>
      </w:rPr>
      <w:t>Tech Challenge Olist Data | Relatório Executivo | Leonardo Montagner de Ramos Vallim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1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421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