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Results — RQ1 and RQ2 (draft)</w:t>
      </w:r>
    </w:p>
    <w:p>
      <w:pPr>
        <w:pStyle w:val="Subtitle"/>
      </w:pPr>
      <w:r>
        <w:t xml:space="preserve">Missing-data methods and equity estimates of child undernutrition: Madagascar DHS 2021</w:t>
      </w:r>
    </w:p>
    <w:p>
      <w:pPr>
        <w:pStyle w:val="Date"/>
      </w:pPr>
      <w:r>
        <w:t xml:space="preserve">Draft of 13 September 2026 — for author review</w:t>
      </w:r>
    </w:p>
    <w:p>
      <w:pPr>
        <w:pStyle w:val="BlockText"/>
      </w:pPr>
      <w:r>
        <w:rPr>
          <w:b/>
          <w:bCs/>
        </w:rPr>
        <w:t xml:space="preserve">Drafting notes (delete before submission).</w:t>
      </w:r>
      <w:r>
        <w:t xml:space="preserve"> </w:t>
      </w:r>
      <w:r>
        <w:t xml:space="preserve">Every number was read from pipeline 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outputs/tables/rq1_*</w:t>
      </w:r>
      <w:r>
        <w:t xml:space="preserve">,</w:t>
      </w:r>
      <w:r>
        <w:t xml:space="preserve"> </w:t>
      </w:r>
      <w:r>
        <w:rPr>
          <w:rStyle w:val="VerbatimChar"/>
        </w:rPr>
        <w:t xml:space="preserve">rq2_*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outcome_missingness_by_covariate.csv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table1_*</w:t>
      </w:r>
      <w:r>
        <w:t xml:space="preserve">) and</w:t>
      </w:r>
      <w:r>
        <w:t xml:space="preserve"> </w:t>
      </w:r>
      <w:r>
        <w:t xml:space="preserve">re-extracted on 13 September 2026; none was transcribed from earlier summaries. Prevalences</w:t>
      </w:r>
      <w:r>
        <w:t xml:space="preserve"> </w:t>
      </w:r>
      <w:r>
        <w:t xml:space="preserve">are survey-weighted unless stated. Simulation results (RQ3) will follow when the full run</w:t>
      </w:r>
      <w:r>
        <w:t xml:space="preserve"> </w:t>
      </w:r>
      <w:r>
        <w:t xml:space="preserve">completes. Items marked</w:t>
      </w:r>
      <w:r>
        <w:t xml:space="preserve"> </w:t>
      </w:r>
      <w:r>
        <w:rPr>
          <w:b/>
          <w:bCs/>
        </w:rPr>
        <w:t xml:space="preserve">[CONFIRM]</w:t>
      </w:r>
      <w:r>
        <w:t xml:space="preserve"> </w:t>
      </w:r>
      <w:r>
        <w:t xml:space="preserve">need an author decision.</w:t>
      </w:r>
    </w:p>
    <w:bookmarkStart w:id="12" w:name="results"/>
    <w:p>
      <w:pPr>
        <w:pStyle w:val="Heading2"/>
      </w:pPr>
      <w:r>
        <w:t xml:space="preserve">Results</w:t>
      </w:r>
    </w:p>
    <w:bookmarkStart w:id="9" w:name="study-population-and-missing-data"/>
    <w:p>
      <w:pPr>
        <w:pStyle w:val="Heading3"/>
      </w:pPr>
      <w:r>
        <w:t xml:space="preserve">Study population and missing data</w:t>
      </w:r>
    </w:p>
    <w:p>
      <w:pPr>
        <w:pStyle w:val="FirstParagraph"/>
      </w:pPr>
      <w:r>
        <w:t xml:space="preserve">The analysis included 6,682 de facto children aged 0–59 months (Table 1). A valid height-for-age</w:t>
      </w:r>
      <w:r>
        <w:t xml:space="preserve"> </w:t>
      </w:r>
      <w:r>
        <w:t xml:space="preserve">z-score was unavailable for 280 children (weighted 4.2%): 257 were not measured and 23 had a flagged</w:t>
      </w:r>
      <w:r>
        <w:t xml:space="preserve"> </w:t>
      </w:r>
      <w:r>
        <w:t xml:space="preserve">value. A valid weight-for-height z-score was unavailable for 204 children (weighted 3.1%): 178 not</w:t>
      </w:r>
      <w:r>
        <w:t xml:space="preserve"> </w:t>
      </w:r>
      <w:r>
        <w:t xml:space="preserve">measured and 26 flagged. All 178 children without a WHZ measurement had not been measured at all</w:t>
      </w:r>
      <w:r>
        <w:t xml:space="preserve"> </w:t>
      </w:r>
      <w:r>
        <w:t xml:space="preserve">(not present, 140; refused, 18; other, 17; result not recorded, 3) and therefore also lacked HAZ.</w:t>
      </w:r>
      <w:r>
        <w:t xml:space="preserve"> </w:t>
      </w:r>
      <w:r>
        <w:t xml:space="preserve">Both z-scores were valid for 6,378 children. Among the auxiliary variables, only mother’s age</w:t>
      </w:r>
      <w:r>
        <w:t xml:space="preserve"> </w:t>
      </w:r>
      <w:r>
        <w:t xml:space="preserve">(223 children, 3.3%) and mother’s education (6 children) had genuinely missing values.</w:t>
      </w:r>
    </w:p>
    <w:p>
      <w:pPr>
        <w:pStyle w:val="BodyText"/>
      </w:pPr>
      <w:r>
        <w:t xml:space="preserve">Missingness was not completely at random. The proportion of children without a valid HAZ was</w:t>
      </w:r>
      <w:r>
        <w:t xml:space="preserve"> </w:t>
      </w:r>
      <w:r>
        <w:t xml:space="preserve">strongly associated with mother’s interview status (Rao–Scott p &lt; 0.001). It was 2.4% when the</w:t>
      </w:r>
      <w:r>
        <w:t xml:space="preserve"> </w:t>
      </w:r>
      <w:r>
        <w:t xml:space="preserve">mother had been interviewed, 9.9% when the mother did not live in the household, and 44.6% when the</w:t>
      </w:r>
      <w:r>
        <w:t xml:space="preserve"> </w:t>
      </w:r>
      <w:r>
        <w:t xml:space="preserve">mother’s interview was incomplete. HAZ missingness also varied by region (p &lt; 0.001), from 1.1% in</w:t>
      </w:r>
      <w:r>
        <w:t xml:space="preserve"> </w:t>
      </w:r>
      <w:r>
        <w:t xml:space="preserve">Ihorombe to 9.9% in Androy and 9.8% in Sava. It varied by residence (urban 6.3%, rural 3.9%;</w:t>
      </w:r>
      <w:r>
        <w:t xml:space="preserve"> </w:t>
      </w:r>
      <w:r>
        <w:t xml:space="preserve">p = 0.009) and by age (highest at 48–59 months, 6.9%; p &lt; 0.001), and was higher when the mother had no</w:t>
      </w:r>
      <w:r>
        <w:t xml:space="preserve"> </w:t>
      </w:r>
      <w:r>
        <w:t xml:space="preserve">education (6.3%) than with primary or secondary education (2.9% each; p &lt; 0.001). It was not</w:t>
      </w:r>
      <w:r>
        <w:t xml:space="preserve"> </w:t>
      </w:r>
      <w:r>
        <w:t xml:space="preserve">associated with wealth quintile (p = 0.62) or sex (p = 0.82). WHZ missingness was likewise associated</w:t>
      </w:r>
      <w:r>
        <w:t xml:space="preserve"> </w:t>
      </w:r>
      <w:r>
        <w:t xml:space="preserve">with mother’s interview status (p &lt; 0.001) and residence (p = 0.002), but not with region (p = 0.19).</w:t>
      </w:r>
    </w:p>
    <w:bookmarkEnd w:id="9"/>
    <w:bookmarkStart w:id="10" w:name="prevalence-by-missing-data-method-rq1"/>
    <w:p>
      <w:pPr>
        <w:pStyle w:val="Heading3"/>
      </w:pPr>
      <w:r>
        <w:t xml:space="preserve">Prevalence by missing-data method (RQ1)</w:t>
      </w:r>
    </w:p>
    <w:p>
      <w:pPr>
        <w:pStyle w:val="FirstParagraph"/>
      </w:pPr>
      <w:r>
        <w:t xml:space="preserve">Complete-case estimates of national prevalence were 39.8% (95% CI 38.0–41.7) for stunting,</w:t>
      </w:r>
      <w:r>
        <w:t xml:space="preserve"> </w:t>
      </w:r>
      <w:r>
        <w:t xml:space="preserve">12.7% (11.6–14.0) for severe stunting, 7.7% (6.9–8.6) for wasting and 1.5% (1.2–1.9) for severe</w:t>
      </w:r>
      <w:r>
        <w:t xml:space="preserve"> </w:t>
      </w:r>
      <w:r>
        <w:t xml:space="preserve">wasting, matching the published survey figures (Table 2). National estimates barely changed with</w:t>
      </w:r>
      <w:r>
        <w:t xml:space="preserve"> </w:t>
      </w:r>
      <w:r>
        <w:t xml:space="preserve">the missing-data method. The largest difference from CCA for any method was 0.12 percentage points</w:t>
      </w:r>
      <w:r>
        <w:t xml:space="preserve"> </w:t>
      </w:r>
      <w:r>
        <w:t xml:space="preserve">(pp), for stunting with CCA restricted to complete covariates (39.7%). Estimates under IPW, MI-PMM</w:t>
      </w:r>
      <w:r>
        <w:t xml:space="preserve"> </w:t>
      </w:r>
      <w:r>
        <w:t xml:space="preserve">and MI-RF were within 0.03 pp of CCA for all four indicators. Confidence intervals were almost identical across methods. The estimated fraction of missing</w:t>
      </w:r>
      <w:r>
        <w:t xml:space="preserve"> </w:t>
      </w:r>
      <w:r>
        <w:t xml:space="preserve">information in the MI analyses was 0.02–0.05 for national estimates and at most 0.12 for any</w:t>
      </w:r>
      <w:r>
        <w:t xml:space="preserve"> </w:t>
      </w:r>
      <w:r>
        <w:t xml:space="preserve">subgroup estimate.</w:t>
      </w:r>
    </w:p>
    <w:p>
      <w:pPr>
        <w:pStyle w:val="BodyText"/>
      </w:pPr>
      <w:r>
        <w:t xml:space="preserve">Subgroup estimates differed more, but differences remained small relative to their sampling</w:t>
      </w:r>
      <w:r>
        <w:t xml:space="preserve"> </w:t>
      </w:r>
      <w:r>
        <w:t xml:space="preserve">uncertainty (Table 2). Across the 56 regional and wealth-quintile estimates of stunting and wasting,</w:t>
      </w:r>
      <w:r>
        <w:t xml:space="preserve"> </w:t>
      </w:r>
      <w:r>
        <w:t xml:space="preserve">the mean absolute difference from CCA was 0.04–0.27 pp, depending on method and outcome. All MI-PMM</w:t>
      </w:r>
      <w:r>
        <w:t xml:space="preserve"> </w:t>
      </w:r>
      <w:r>
        <w:t xml:space="preserve">estimates were within 0.5 pp of CCA, as were 96% of IPW and MI-RF estimates and 89% of estimates from</w:t>
      </w:r>
      <w:r>
        <w:t xml:space="preserve"> </w:t>
      </w:r>
      <w:r>
        <w:t xml:space="preserve">CCA with complete covariates. The largest differences all concerned regional stunting:</w:t>
      </w:r>
    </w:p>
    <w:p>
      <w:pPr>
        <w:pStyle w:val="Compact"/>
        <w:numPr>
          <w:ilvl w:val="0"/>
          <w:numId w:val="1001"/>
        </w:numPr>
      </w:pPr>
      <w:r>
        <w:t xml:space="preserve">IPW lowered stunting prevalence in Androy from 45.3% to 43.7% (−1.6 pp). Androy had the highest</w:t>
      </w:r>
      <w:r>
        <w:t xml:space="preserve"> </w:t>
      </w:r>
      <w:r>
        <w:t xml:space="preserve">proportion of children without a valid HAZ (47 of 476).</w:t>
      </w:r>
    </w:p>
    <w:p>
      <w:pPr>
        <w:pStyle w:val="Compact"/>
        <w:numPr>
          <w:ilvl w:val="0"/>
          <w:numId w:val="1001"/>
        </w:numPr>
      </w:pPr>
      <w:r>
        <w:t xml:space="preserve">MI-RF raised stunting prevalence in Sava from 31.0% to 32.0% (+1.1 pp).</w:t>
      </w:r>
    </w:p>
    <w:p>
      <w:pPr>
        <w:pStyle w:val="FirstParagraph"/>
      </w:pPr>
      <w:r>
        <w:t xml:space="preserve">All other differences were below 0.9 pp.</w:t>
      </w:r>
    </w:p>
    <w:p>
      <w:pPr>
        <w:pStyle w:val="BodyText"/>
      </w:pPr>
      <w:r>
        <w:t xml:space="preserve">Diagnostics did not indicate unstable adjustment. The largest IPW adjustment factor, the inverse of</w:t>
      </w:r>
      <w:r>
        <w:t xml:space="preserve"> </w:t>
      </w:r>
      <w:r>
        <w:t xml:space="preserve">the estimated response probability, was 7.1 for HAZ and 3.2 for WHZ. IPW reduced the Kish effective</w:t>
      </w:r>
      <w:r>
        <w:t xml:space="preserve"> </w:t>
      </w:r>
      <w:r>
        <w:t xml:space="preserve">sample size of respondents only from 4,727 to 4,569 (HAZ) and from 4,785 to 4,728 (WHZ). Imputed</w:t>
      </w:r>
      <w:r>
        <w:t xml:space="preserve"> </w:t>
      </w:r>
      <w:r>
        <w:t xml:space="preserve">values resembled the observed distribution. Among children with missing HAZ, 41.0% (MI-PMM) and 40.1%</w:t>
      </w:r>
      <w:r>
        <w:t xml:space="preserve"> </w:t>
      </w:r>
      <w:r>
        <w:t xml:space="preserve">(MI-RF) of imputed values were below −2, compared with 39.3% of observed values (unweighted). For</w:t>
      </w:r>
      <w:r>
        <w:t xml:space="preserve"> </w:t>
      </w:r>
      <w:r>
        <w:t xml:space="preserve">children with flagged HAZ, the figures were 38.9% and 41.7%. For WHZ, 8.4% (MI-PMM) and 7.1% (MI-RF) of</w:t>
      </w:r>
      <w:r>
        <w:t xml:space="preserve"> </w:t>
      </w:r>
      <w:r>
        <w:t xml:space="preserve">imputed values for unmeasured children were below −2, against 7.8% of observed values.</w:t>
      </w:r>
      <w:r>
        <w:t xml:space="preserve"> </w:t>
      </w:r>
      <w:r>
        <w:t xml:space="preserve">Chains for both MI methods mixed well (Additional file 1</w:t>
      </w:r>
      <w:r>
        <w:t xml:space="preserve"> </w:t>
      </w:r>
      <w:r>
        <w:rPr>
          <w:b/>
          <w:bCs/>
        </w:rPr>
        <w:t xml:space="preserve">[CONFIRM numbering]</w:t>
      </w:r>
      <w:r>
        <w:t xml:space="preserve">).</w:t>
      </w:r>
    </w:p>
    <w:p>
      <w:pPr>
        <w:pStyle w:val="BodyText"/>
      </w:pPr>
      <w:r>
        <w:t xml:space="preserve">Excluding flagged children from the target population left conclusions unchanged (Table S2). National</w:t>
      </w:r>
      <w:r>
        <w:t xml:space="preserve"> </w:t>
      </w:r>
      <w:r>
        <w:t xml:space="preserve">estimates changed by about 0.05 pp or less for any method, and subgroup estimates by at most 0.8 pp.</w:t>
      </w:r>
    </w:p>
    <w:bookmarkEnd w:id="10"/>
    <w:bookmarkStart w:id="11" w:name="X0d89c93ccc8adb90d0b92af7166babe1c69bfee"/>
    <w:p>
      <w:pPr>
        <w:pStyle w:val="Heading3"/>
      </w:pPr>
      <w:r>
        <w:t xml:space="preserve">Equity ordering of regions and wealth quintiles (RQ2)</w:t>
      </w:r>
    </w:p>
    <w:p>
      <w:pPr>
        <w:pStyle w:val="FirstParagraph"/>
      </w:pPr>
      <w:r>
        <w:t xml:space="preserve">Rankings of regions and wealth quintiles were highly concordant across methods (Figure 1). For</w:t>
      </w:r>
      <w:r>
        <w:t xml:space="preserve"> </w:t>
      </w:r>
      <w:r>
        <w:t xml:space="preserve">regional stunting, Spearman’s ρ between any two methods was at least 0.993 and Kendall’s τ-b at least</w:t>
      </w:r>
      <w:r>
        <w:t xml:space="preserve"> </w:t>
      </w:r>
      <w:r>
        <w:t xml:space="preserve">0.953, and no region moved by more than two ranks. For regional wasting, ρ was at least 0.987 and τ-b</w:t>
      </w:r>
      <w:r>
        <w:t xml:space="preserve"> </w:t>
      </w:r>
      <w:r>
        <w:t xml:space="preserve">at least 0.937, with a largest shift of three ranks. The ranking of wealth quintiles was identical</w:t>
      </w:r>
      <w:r>
        <w:t xml:space="preserve"> </w:t>
      </w:r>
      <w:r>
        <w:t xml:space="preserve">under all methods for both outcomes.</w:t>
      </w:r>
    </w:p>
    <w:p>
      <w:pPr>
        <w:pStyle w:val="BodyText"/>
      </w:pPr>
      <w:r>
        <w:t xml:space="preserve">The five worst-affected regions were the same under CCA, IPW, MI-PMM and MI-RF for both outcomes;</w:t>
      </w:r>
      <w:r>
        <w:t xml:space="preserve"> </w:t>
      </w:r>
      <w:r>
        <w:t xml:space="preserve">the top-five set changed only under CCA with complete covariates.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Stunting.</w:t>
      </w:r>
      <w:r>
        <w:t xml:space="preserve"> </w:t>
      </w:r>
      <w:r>
        <w:t xml:space="preserve">Analamanga (excluding Antananarivo) replaced Atsimo Atsinanana in fifth place under CCA</w:t>
      </w:r>
      <w:r>
        <w:t xml:space="preserve"> </w:t>
      </w:r>
      <w:r>
        <w:t xml:space="preserve">with complete covariates. The two regions differed by 0.02 pp under that method (48.28% vs 48.26%).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Wasting.</w:t>
      </w:r>
      <w:r>
        <w:t xml:space="preserve"> </w:t>
      </w:r>
      <w:r>
        <w:t xml:space="preserve">Under CCA with complete covariates, Vatovavy Fitovinany fell from fifth to eighth</w:t>
      </w:r>
      <w:r>
        <w:t xml:space="preserve"> </w:t>
      </w:r>
      <w:r>
        <w:t xml:space="preserve">(10.2% to 9.5%) and Anosy entered the top five.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 place.</w:t>
      </w:r>
      <w:r>
        <w:t xml:space="preserve"> </w:t>
      </w:r>
      <w:r>
        <w:t xml:space="preserve">The worst-affected region for stunting differed under one method only: IPW ranked</w:t>
      </w:r>
      <w:r>
        <w:t xml:space="preserve"> </w:t>
      </w:r>
      <w:r>
        <w:t xml:space="preserve">Itasy (51.57%) above Vakinankaratra (51.56%). Androy ranked first for wasting under every method.</w:t>
      </w:r>
    </w:p>
    <w:p>
      <w:pPr>
        <w:pStyle w:val="FirstParagraph"/>
      </w:pPr>
      <w:r>
        <w:t xml:space="preserve">Method-induced reordering was small compared with the uncertainty that sampling error alone places on</w:t>
      </w:r>
      <w:r>
        <w:t xml:space="preserve"> </w:t>
      </w:r>
      <w:r>
        <w:t xml:space="preserve">the rankings. When CCA estimates were re-drawn from their sampling distributions, the median agreement</w:t>
      </w:r>
      <w:r>
        <w:t xml:space="preserve"> </w:t>
      </w:r>
      <w:r>
        <w:t xml:space="preserve">with the CCA point ranking was ρ = 0.93 for stunting and 0.88 for wasting. The median overlap of the</w:t>
      </w:r>
      <w:r>
        <w:t xml:space="preserve"> </w:t>
      </w:r>
      <w:r>
        <w:t xml:space="preserve">top five was three of five regions for stunting and four of five for wasting. By contrast, agreement</w:t>
      </w:r>
      <w:r>
        <w:t xml:space="preserve"> </w:t>
      </w:r>
      <w:r>
        <w:t xml:space="preserve">between methods was ρ ≥ 0.987 with a top-five overlap of at least four of five.</w:t>
      </w:r>
    </w:p>
    <w:p>
      <w:pPr>
        <w:pStyle w:val="BodyText"/>
      </w:pPr>
      <w:r>
        <w:t xml:space="preserve">No region’s position among the five most stunted was secure under CCA. The highest probability of</w:t>
      </w:r>
      <w:r>
        <w:t xml:space="preserve"> </w:t>
      </w:r>
      <w:r>
        <w:t xml:space="preserve">belonging to the top five was 0.82 (Vakinankaratra), and the probability of ranking first was 0.31 for</w:t>
      </w:r>
      <w:r>
        <w:t xml:space="preserve"> </w:t>
      </w:r>
      <w:r>
        <w:t xml:space="preserve">Vakinankaratra and 0.30 for Itasy. The 95% rank intervals of seven regions included first place. For</w:t>
      </w:r>
      <w:r>
        <w:t xml:space="preserve"> </w:t>
      </w:r>
      <w:r>
        <w:t xml:space="preserve">wasting, only Androy was clearly among the worst-affected: its probability of being in the top five was</w:t>
      </w:r>
      <w:r>
        <w:t xml:space="preserve"> </w:t>
      </w:r>
      <w:r>
        <w:t xml:space="preserve">0.97 and of ranking first 0.58, with a 95% rank interval of 1–6. The 95% rank intervals of five regions</w:t>
      </w:r>
      <w:r>
        <w:t xml:space="preserve"> </w:t>
      </w:r>
      <w:r>
        <w:t xml:space="preserve">included first place. The regions whose worst-affected status depended on the method were among the</w:t>
      </w:r>
      <w:r>
        <w:t xml:space="preserve"> </w:t>
      </w:r>
      <w:r>
        <w:t xml:space="preserve">least certain. Their probabilities of top-five membership under CCA were 0.53–0.57 for stunting and</w:t>
      </w:r>
      <w:r>
        <w:t xml:space="preserve"> </w:t>
      </w:r>
      <w:r>
        <w:t xml:space="preserve">0.30–0.36 for wasting.</w:t>
      </w:r>
    </w:p>
    <w:p>
      <w:pPr>
        <w:pStyle w:val="BodyText"/>
      </w:pPr>
      <w:r>
        <w:t xml:space="preserve">Among wealth quintiles, stunting prevalence under CCA was highest in the second-poorest quintile,</w:t>
      </w:r>
      <w:r>
        <w:t xml:space="preserve"> </w:t>
      </w:r>
      <w:r>
        <w:t xml:space="preserve">43.4% (40.3–46.6), not the poorest, 42.8% (39.8–45.9). The probability that the second-poorest</w:t>
      </w:r>
      <w:r>
        <w:t xml:space="preserve"> </w:t>
      </w:r>
      <w:r>
        <w:t xml:space="preserve">quintile truly ranked first was 0.57. The richest quintile was clearly the least affected, 30.0%</w:t>
      </w:r>
      <w:r>
        <w:t xml:space="preserve"> </w:t>
      </w:r>
      <w:r>
        <w:t xml:space="preserve">(25.7–34.7), and ranked last in at least 97.5% of simulated rankings. Wasting prevalence was highest in the poorest</w:t>
      </w:r>
      <w:r>
        <w:t xml:space="preserve"> </w:t>
      </w:r>
      <w:r>
        <w:t xml:space="preserve">quintile, 9.9% (8.2–11.9), with a probability of ranking first of 0.90; the gradient across the other</w:t>
      </w:r>
      <w:r>
        <w:t xml:space="preserve"> </w:t>
      </w:r>
      <w:r>
        <w:t xml:space="preserve">quintiles was not monotone. These orderings were unaffected by the choice of missing-data method.</w:t>
      </w:r>
    </w:p>
    <w:p>
      <w:pPr>
        <w:pStyle w:val="BodyText"/>
      </w:pPr>
      <w:r>
        <w:t xml:space="preserve">The flagged-excluded sensitivity analysis gave the same concordance measures to within one rank shift</w:t>
      </w:r>
      <w:r>
        <w:t xml:space="preserve"> </w:t>
      </w:r>
      <w:r>
        <w:t xml:space="preserve">and identified the same method-dependent regions (Figure S1).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— RQ1 and RQ2 (draft)</dc:title>
  <dc:creator/>
  <cp:keywords/>
  <dcterms:created xsi:type="dcterms:W3CDTF">2026-09-13T18:42:42Z</dcterms:created>
  <dcterms:modified xsi:type="dcterms:W3CDTF">2026-09-13T18:42:42Z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of 13 September 2026 — for author review</vt:lpwstr>
  </property>
  <property fmtid="{D5CDD505-2E9C-101B-9397-08002B2CF9AE}" pid="3" name="subtitle">
    <vt:lpwstr>Missing-data methods and equity estimates of child undernutrition: Madagascar DHS 2021</vt:lpwstr>
  </property>
</Properties>
</file>