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Methods (draft)</w:t>
      </w:r>
    </w:p>
    <w:p>
      <w:pPr>
        <w:pStyle w:val="Subtitle"/>
      </w:pPr>
      <w:r>
        <w:t xml:space="preserve">Missing-data methods and equity estimates of child undernutrition: Madagascar DHS 2021</w:t>
      </w:r>
    </w:p>
    <w:p>
      <w:pPr>
        <w:pStyle w:val="Date"/>
      </w:pPr>
      <w:r>
        <w:t xml:space="preserve">Draft of 13 September 2026 — for author review</w:t>
      </w:r>
    </w:p>
    <w:p>
      <w:pPr>
        <w:pStyle w:val="BlockText"/>
      </w:pPr>
      <w:r>
        <w:rPr>
          <w:b/>
          <w:bCs/>
        </w:rPr>
        <w:t xml:space="preserve">Drafting notes (delete before submission).</w:t>
      </w:r>
      <w:r>
        <w:t xml:space="preserve"> </w:t>
      </w:r>
      <w:r>
        <w:t xml:space="preserve">Every design detail below was checked against the</w:t>
      </w:r>
      <w:r>
        <w:t xml:space="preserve"> </w:t>
      </w:r>
      <w:r>
        <w:t xml:space="preserve">analysis code in this repository or the EDSMD-V 2021 Final Report. Items marked</w:t>
      </w:r>
      <w:r>
        <w:t xml:space="preserve"> </w:t>
      </w:r>
      <w:r>
        <w:rPr>
          <w:b/>
          <w:bCs/>
        </w:rPr>
        <w:t xml:space="preserve">[CONFIRM]</w:t>
      </w:r>
      <w:r>
        <w:t xml:space="preserve"> </w:t>
      </w:r>
      <w:r>
        <w:t xml:space="preserve">need</w:t>
      </w:r>
      <w:r>
        <w:t xml:space="preserve"> </w:t>
      </w:r>
      <w:r>
        <w:t xml:space="preserve">an author decision or external check. Verify all references against PubMed/publisher records before</w:t>
      </w:r>
      <w:r>
        <w:t xml:space="preserve"> </w:t>
      </w:r>
      <w:r>
        <w:t xml:space="preserve">submission. Results-dependent statements (e.g. simulation findings) are deliberately absent.</w:t>
      </w:r>
    </w:p>
    <w:bookmarkStart w:id="17" w:name="methods"/>
    <w:p>
      <w:pPr>
        <w:pStyle w:val="Heading2"/>
      </w:pPr>
      <w:r>
        <w:t xml:space="preserve">Methods</w:t>
      </w:r>
    </w:p>
    <w:bookmarkStart w:id="9" w:name="data-source-and-survey-design"/>
    <w:p>
      <w:pPr>
        <w:pStyle w:val="Heading3"/>
      </w:pPr>
      <w:r>
        <w:t xml:space="preserve">Data source and survey design</w:t>
      </w:r>
    </w:p>
    <w:p>
      <w:pPr>
        <w:pStyle w:val="FirstParagraph"/>
      </w:pPr>
      <w:r>
        <w:t xml:space="preserve">We used data from the 2021 Madagascar Demographic and Health Survey (Enquête Démographique et de</w:t>
      </w:r>
      <w:r>
        <w:t xml:space="preserve"> </w:t>
      </w:r>
      <w:r>
        <w:t xml:space="preserve">Santé à Madagascar, EDSMD-V), a nationally representative household survey conducted by the Institut</w:t>
      </w:r>
      <w:r>
        <w:t xml:space="preserve"> </w:t>
      </w:r>
      <w:r>
        <w:t xml:space="preserve">National de la Statistique (INSTAT) with technical assistance from ICF through The DHS Program [1].</w:t>
      </w:r>
      <w:r>
        <w:t xml:space="preserve"> </w:t>
      </w:r>
      <w:r>
        <w:t xml:space="preserve">The survey was designed to produce estimates for the nation, for urban and rural areas, and for 23</w:t>
      </w:r>
      <w:r>
        <w:t xml:space="preserve"> </w:t>
      </w:r>
      <w:r>
        <w:t xml:space="preserve">study domains: the 22 administrative regions that existed at survey design (with Vatovavy and</w:t>
      </w:r>
      <w:r>
        <w:t xml:space="preserve"> </w:t>
      </w:r>
      <w:r>
        <w:t xml:space="preserve">Fitovinany forming a single region), with the capital, Antananarivo, and the remainder of Analamanga</w:t>
      </w:r>
      <w:r>
        <w:t xml:space="preserve"> </w:t>
      </w:r>
      <w:r>
        <w:t xml:space="preserve">region treated as separate domains [1].</w:t>
      </w:r>
    </w:p>
    <w:p>
      <w:pPr>
        <w:pStyle w:val="BodyText"/>
      </w:pPr>
      <w:r>
        <w:t xml:space="preserve">The sample was a stratified two-stage cluster sample drawn from the 2018 General Population and</w:t>
      </w:r>
      <w:r>
        <w:t xml:space="preserve"> </w:t>
      </w:r>
      <w:r>
        <w:t xml:space="preserve">Housing Census (RGPH-3) frame. Each domain was divided into urban and rural strata (the capital is</w:t>
      </w:r>
      <w:r>
        <w:t xml:space="preserve"> </w:t>
      </w:r>
      <w:r>
        <w:t xml:space="preserve">urban only), giving 45 sampling strata. In the first stage, 657 enumeration areas were selected with</w:t>
      </w:r>
      <w:r>
        <w:t xml:space="preserve"> </w:t>
      </w:r>
      <w:r>
        <w:t xml:space="preserve">probability proportional to size; in the second stage, 34 households were selected systematically with</w:t>
      </w:r>
      <w:r>
        <w:t xml:space="preserve"> </w:t>
      </w:r>
      <w:r>
        <w:t xml:space="preserve">equal probability in each enumeration area, and 20,510 households were interviewed [1]. In a random</w:t>
      </w:r>
      <w:r>
        <w:t xml:space="preserve"> </w:t>
      </w:r>
      <w:r>
        <w:t xml:space="preserve">half of households, all children under 5 years were weighed and measured [1]. Fieldwork, launched in</w:t>
      </w:r>
      <w:r>
        <w:t xml:space="preserve"> </w:t>
      </w:r>
      <w:r>
        <w:t xml:space="preserve">March 2020 and suspended because of the COVID-19 pandemic, restarted on 3 March 2021 and lasted</w:t>
      </w:r>
      <w:r>
        <w:t xml:space="preserve"> </w:t>
      </w:r>
      <w:r>
        <w:t xml:space="preserve">143 days [1].</w:t>
      </w:r>
      <w:r>
        <w:t xml:space="preserve"> </w:t>
      </w:r>
      <w:r>
        <w:rPr>
          <w:b/>
          <w:bCs/>
        </w:rPr>
        <w:t xml:space="preserve">[CONFIRM whether data from the 56 clusters completed in March 2020 are included in the</w:t>
      </w:r>
      <w:r>
        <w:rPr>
          <w:b/>
          <w:bCs/>
        </w:rPr>
        <w:t xml:space="preserve"> </w:t>
      </w:r>
      <w:r>
        <w:rPr>
          <w:b/>
          <w:bCs/>
        </w:rPr>
        <w:t xml:space="preserve">released file and whether this needs mention.]</w:t>
      </w:r>
    </w:p>
    <w:bookmarkEnd w:id="9"/>
    <w:bookmarkStart w:id="10" w:name="study-population-and-outcomes"/>
    <w:p>
      <w:pPr>
        <w:pStyle w:val="Heading3"/>
      </w:pPr>
      <w:r>
        <w:t xml:space="preserve">Study population and outcomes</w:t>
      </w:r>
    </w:p>
    <w:p>
      <w:pPr>
        <w:pStyle w:val="FirstParagraph"/>
      </w:pPr>
      <w:r>
        <w:t xml:space="preserve">The analytic population comprised de facto children aged 0–59 months (children who slept in the</w:t>
      </w:r>
      <w:r>
        <w:t xml:space="preserve"> </w:t>
      </w:r>
      <w:r>
        <w:t xml:space="preserve">household the night before the interview) listed in the household member (PR) recode file, the</w:t>
      </w:r>
      <w:r>
        <w:t xml:space="preserve"> </w:t>
      </w:r>
      <w:r>
        <w:t xml:space="preserve">population used for the survey’s published nutrition indicators [1,3] (n = 6,682 children in 649</w:t>
      </w:r>
      <w:r>
        <w:t xml:space="preserve"> </w:t>
      </w:r>
      <w:r>
        <w:t xml:space="preserve">primary sampling units and 45 strata).</w:t>
      </w:r>
    </w:p>
    <w:p>
      <w:pPr>
        <w:pStyle w:val="BodyText"/>
      </w:pPr>
      <w:r>
        <w:t xml:space="preserve">Height-for-age (HAZ), weight-for-height (WHZ) and weight-for-age z-scores had been calculated by DHS</w:t>
      </w:r>
      <w:r>
        <w:t xml:space="preserve"> </w:t>
      </w:r>
      <w:r>
        <w:t xml:space="preserve">using the WHO Child Growth Standards [2]. The recode stores z-scores multiplied by 100 and uses</w:t>
      </w:r>
      <w:r>
        <w:t xml:space="preserve"> </w:t>
      </w:r>
      <w:r>
        <w:t xml:space="preserve">separate codes for values that are missing (not measured) and for measurements that fall outside</w:t>
      </w:r>
      <w:r>
        <w:t xml:space="preserve"> </w:t>
      </w:r>
      <w:r>
        <w:t xml:space="preserve">plausible limits: 9996 (height out of plausible limits), 9997 (age out of plausible limits) and 9998</w:t>
      </w:r>
      <w:r>
        <w:t xml:space="preserve"> </w:t>
      </w:r>
      <w:r>
        <w:t xml:space="preserve">(WHO-flagged z-score). We kept these two types of missingness distinct throughout. Stunting and severe</w:t>
      </w:r>
      <w:r>
        <w:t xml:space="preserve"> </w:t>
      </w:r>
      <w:r>
        <w:t xml:space="preserve">stunting were defined as HAZ &lt; −2 and &lt; −3, and wasting and severe wasting as WHZ &lt; −2 and &lt; −3 [2].</w:t>
      </w:r>
    </w:p>
    <w:bookmarkEnd w:id="10"/>
    <w:bookmarkStart w:id="11" w:name="X86b38d69ce5547d0ddb63c64aa19d17b9bdf934"/>
    <w:p>
      <w:pPr>
        <w:pStyle w:val="Heading3"/>
      </w:pPr>
      <w:r>
        <w:t xml:space="preserve">Covariates and structural versus genuine missingness</w:t>
      </w:r>
    </w:p>
    <w:p>
      <w:pPr>
        <w:pStyle w:val="FirstParagraph"/>
      </w:pPr>
      <w:r>
        <w:t xml:space="preserve">Auxiliary variables were study domain (hereafter</w:t>
      </w:r>
      <w:r>
        <w:t xml:space="preserve"> </w:t>
      </w:r>
      <w:r>
        <w:t xml:space="preserve">“region”</w:t>
      </w:r>
      <w:r>
        <w:t xml:space="preserve">), place of residence, household wealth</w:t>
      </w:r>
      <w:r>
        <w:t xml:space="preserve"> </w:t>
      </w:r>
      <w:r>
        <w:t xml:space="preserve">quintile, child’s sex, child’s age in months (and in the eight age bands used in the Final Report),</w:t>
      </w:r>
      <w:r>
        <w:t xml:space="preserve"> </w:t>
      </w:r>
      <w:r>
        <w:t xml:space="preserve">household size, mother’s interview status, mother’s education (none, primary, secondary or higher)</w:t>
      </w:r>
      <w:r>
        <w:t xml:space="preserve"> </w:t>
      </w:r>
      <w:r>
        <w:t xml:space="preserve">and mother’s age. Mother’s age was taken from the mother’s own household roster line.</w:t>
      </w:r>
    </w:p>
    <w:p>
      <w:pPr>
        <w:pStyle w:val="BodyText"/>
      </w:pPr>
      <w:r>
        <w:t xml:space="preserve">Two sources of incomplete maternal information were distinguished. For children whose mother did not</w:t>
      </w:r>
      <w:r>
        <w:t xml:space="preserve"> </w:t>
      </w:r>
      <w:r>
        <w:t xml:space="preserve">live in the household (including children whose mother had died; n = 569), maternal education and age</w:t>
      </w:r>
      <w:r>
        <w:t xml:space="preserve"> </w:t>
      </w:r>
      <w:r>
        <w:t xml:space="preserve">are not applicable. These were coded as a separate category (</w:t>
      </w:r>
      <w:r>
        <w:t xml:space="preserve">“not in household”</w:t>
      </w:r>
      <w:r>
        <w:t xml:space="preserve">), were never imputed,</w:t>
      </w:r>
      <w:r>
        <w:t xml:space="preserve"> </w:t>
      </w:r>
      <w:r>
        <w:t xml:space="preserve">and were represented in every model through mother’s interview status. Genuine missingness comprised</w:t>
      </w:r>
      <w:r>
        <w:t xml:space="preserve"> </w:t>
      </w:r>
      <w:r>
        <w:t xml:space="preserve">mother’s age for children whose mother lived in the household but could not be linked to a roster line</w:t>
      </w:r>
      <w:r>
        <w:t xml:space="preserve"> </w:t>
      </w:r>
      <w:r>
        <w:t xml:space="preserve">(mother not de facto, n = 30; incomplete women’s interview, n = 193) and mother’s education recorded</w:t>
      </w:r>
      <w:r>
        <w:t xml:space="preserve"> </w:t>
      </w:r>
      <w:r>
        <w:t xml:space="preserve">as</w:t>
      </w:r>
      <w:r>
        <w:t xml:space="preserve"> </w:t>
      </w:r>
      <w:r>
        <w:t xml:space="preserve">“don’t know”</w:t>
      </w:r>
      <w:r>
        <w:t xml:space="preserve"> </w:t>
      </w:r>
      <w:r>
        <w:t xml:space="preserve">(n = 6).</w:t>
      </w:r>
    </w:p>
    <w:bookmarkEnd w:id="11"/>
    <w:bookmarkStart w:id="12" w:name="complex-survey-design"/>
    <w:p>
      <w:pPr>
        <w:pStyle w:val="Heading3"/>
      </w:pPr>
      <w:r>
        <w:t xml:space="preserve">Complex survey design</w:t>
      </w:r>
    </w:p>
    <w:p>
      <w:pPr>
        <w:pStyle w:val="FirstParagraph"/>
      </w:pPr>
      <w:r>
        <w:t xml:space="preserve">All estimates accounted for sampling weights (the DHS household weight divided by 10⁶), stratification</w:t>
      </w:r>
      <w:r>
        <w:t xml:space="preserve"> </w:t>
      </w:r>
      <w:r>
        <w:t xml:space="preserve">and clustering. Variances were estimated by Taylor linearisation [4], with primary sampling units nested</w:t>
      </w:r>
      <w:r>
        <w:t xml:space="preserve"> </w:t>
      </w:r>
      <w:r>
        <w:t xml:space="preserve">within strata; single-PSU strata were handled by centring at the grand mean. Subgroup prevalences were</w:t>
      </w:r>
      <w:r>
        <w:t xml:space="preserve"> </w:t>
      </w:r>
      <w:r>
        <w:t xml:space="preserve">estimated as domain estimates, retaining all sampling units in the variance calculation. Because many</w:t>
      </w:r>
      <w:r>
        <w:t xml:space="preserve"> </w:t>
      </w:r>
      <w:r>
        <w:t xml:space="preserve">subgroup prevalences are low, 95% confidence intervals (CIs) were constructed on the logit scale</w:t>
      </w:r>
      <w:r>
        <w:t xml:space="preserve"> </w:t>
      </w:r>
      <w:r>
        <w:t xml:space="preserve">(delta-method variance) and back-transformed, with a t reference distribution on the design degrees of</w:t>
      </w:r>
      <w:r>
        <w:t xml:space="preserve"> </w:t>
      </w:r>
      <w:r>
        <w:t xml:space="preserve">freedom (number of PSUs minus number of strata, 604). Associations between outcome missingness and</w:t>
      </w:r>
      <w:r>
        <w:t xml:space="preserve"> </w:t>
      </w:r>
      <w:r>
        <w:t xml:space="preserve">covariates were assessed with design-based Rao–Scott tests [5].</w:t>
      </w:r>
    </w:p>
    <w:p>
      <w:pPr>
        <w:pStyle w:val="BodyText"/>
      </w:pPr>
      <w:r>
        <w:rPr>
          <w:b/>
          <w:bCs/>
        </w:rPr>
        <w:t xml:space="preserve">Pipeline validation.</w:t>
      </w:r>
      <w:r>
        <w:t xml:space="preserve"> </w:t>
      </w:r>
      <w:r>
        <w:t xml:space="preserve">Before applying any missing-data method, we checked that the complete-case,</w:t>
      </w:r>
      <w:r>
        <w:t xml:space="preserve"> </w:t>
      </w:r>
      <w:r>
        <w:t xml:space="preserve">design-based estimates reproduced the published survey figures. Estimates reproduced all 246 cells of</w:t>
      </w:r>
      <w:r>
        <w:t xml:space="preserve"> </w:t>
      </w:r>
      <w:r>
        <w:t xml:space="preserve">Final Report Table 11.1 (moderate and severe stunting, wasting and underweight by age, sex, residence,</w:t>
      </w:r>
      <w:r>
        <w:t xml:space="preserve"> </w:t>
      </w:r>
      <w:r>
        <w:t xml:space="preserve">23 regions and wealth quintile) to the published precision, the national unweighted and weighted</w:t>
      </w:r>
      <w:r>
        <w:t xml:space="preserve"> </w:t>
      </w:r>
      <w:r>
        <w:t xml:space="preserve">denominators, and the 53 stunting, wasting and underweight entries of the sampling-error appendix</w:t>
      </w:r>
      <w:r>
        <w:t xml:space="preserve"> </w:t>
      </w:r>
      <w:r>
        <w:t xml:space="preserve">(national standard errors and ±2 SE intervals for residence and the 23 regions) [1]. The analysis</w:t>
      </w:r>
      <w:r>
        <w:t xml:space="preserve"> </w:t>
      </w:r>
      <w:r>
        <w:t xml:space="preserve">pipeline stops automatically if any of these checks fails.</w:t>
      </w:r>
    </w:p>
    <w:bookmarkEnd w:id="12"/>
    <w:bookmarkStart w:id="13" w:name="estimand-and-missing-data-methods-rq1"/>
    <w:p>
      <w:pPr>
        <w:pStyle w:val="Heading3"/>
      </w:pPr>
      <w:r>
        <w:t xml:space="preserve">Estimand and missing-data methods (RQ1)</w:t>
      </w:r>
    </w:p>
    <w:p>
      <w:pPr>
        <w:pStyle w:val="FirstParagraph"/>
      </w:pPr>
      <w:r>
        <w:t xml:space="preserve">The target estimand was the survey-weighted prevalence of each outcome among all de facto children aged</w:t>
      </w:r>
      <w:r>
        <w:t xml:space="preserve"> </w:t>
      </w:r>
      <w:r>
        <w:t xml:space="preserve">0–59 months, nationally and by region and wealth quintile. An outcome was considered missing when no</w:t>
      </w:r>
      <w:r>
        <w:t xml:space="preserve"> </w:t>
      </w:r>
      <w:r>
        <w:t xml:space="preserve">valid z-score was available, whether because the child was not measured or because the value was</w:t>
      </w:r>
      <w:r>
        <w:t xml:space="preserve"> </w:t>
      </w:r>
      <w:r>
        <w:t xml:space="preserve">flagged. We compared five approaches, chosen to span the estimators most often used for incomplete survey</w:t>
      </w:r>
      <w:r>
        <w:t xml:space="preserve"> </w:t>
      </w:r>
      <w:r>
        <w:t xml:space="preserve">outcomes [6].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Complete-case analysis (CCA).</w:t>
      </w:r>
      <w:r>
        <w:t xml:space="preserve"> </w:t>
      </w:r>
      <w:r>
        <w:t xml:space="preserve">Children with a valid z-score, analysed with the design weights. This</w:t>
      </w:r>
      <w:r>
        <w:t xml:space="preserve"> </w:t>
      </w:r>
      <w:r>
        <w:t xml:space="preserve">is the definition used in DHS reports [3].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CCA with complete covariates.</w:t>
      </w:r>
      <w:r>
        <w:t xml:space="preserve"> </w:t>
      </w:r>
      <w:r>
        <w:t xml:space="preserve">As above, additionally requiring observed mother’s age and education,</w:t>
      </w:r>
      <w:r>
        <w:t xml:space="preserve"> </w:t>
      </w:r>
      <w:r>
        <w:t xml:space="preserve">representing the common practice of restricting to records complete for all analysis variables.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Inverse probability weighting (IPW).</w:t>
      </w:r>
      <w:r>
        <w:t xml:space="preserve"> </w:t>
      </w:r>
      <w:r>
        <w:t xml:space="preserve">For each index separately, the probability of a valid z-score</w:t>
      </w:r>
      <w:r>
        <w:t xml:space="preserve"> </w:t>
      </w:r>
      <w:r>
        <w:t xml:space="preserve">was modelled by survey-weighted logistic regression on region, residence, wealth quintile, sex, age</w:t>
      </w:r>
      <w:r>
        <w:t xml:space="preserve"> </w:t>
      </w:r>
      <w:r>
        <w:t xml:space="preserve">band, mother’s interview status, mother’s education and household size. Each responding child’s</w:t>
      </w:r>
      <w:r>
        <w:t xml:space="preserve"> </w:t>
      </w:r>
      <w:r>
        <w:t xml:space="preserve">design weight was divided by the fitted response probability [7]. To avoid collinearity with</w:t>
      </w:r>
      <w:r>
        <w:t xml:space="preserve"> </w:t>
      </w:r>
      <w:r>
        <w:t xml:space="preserve">mother’s interview status, children whose mother was not in the household were assigned a constant</w:t>
      </w:r>
      <w:r>
        <w:t xml:space="preserve"> </w:t>
      </w:r>
      <w:r>
        <w:t xml:space="preserve">education level in this model, and the six</w:t>
      </w:r>
      <w:r>
        <w:t xml:space="preserve"> </w:t>
      </w:r>
      <w:r>
        <w:t xml:space="preserve">“don’t know”</w:t>
      </w:r>
      <w:r>
        <w:t xml:space="preserve"> </w:t>
      </w:r>
      <w:r>
        <w:t xml:space="preserve">values were set to the modal category.</w:t>
      </w:r>
      <w:r>
        <w:t xml:space="preserve"> </w:t>
      </w:r>
      <w:r>
        <w:t xml:space="preserve">Variance estimation treated the estimated weights as fixed.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imputation by chained equations with predictive mean matching (MI-PMM)</w:t>
      </w:r>
      <w:r>
        <w:t xml:space="preserve"> </w:t>
      </w:r>
      <w:r>
        <w:t xml:space="preserve">[8,9]. HAZ, WHZ</w:t>
      </w:r>
      <w:r>
        <w:t xml:space="preserve"> </w:t>
      </w:r>
      <w:r>
        <w:t xml:space="preserve">and mother’s age were imputed by predictive mean matching [10], and mother’s education by</w:t>
      </w:r>
      <w:r>
        <w:t xml:space="preserve"> </w:t>
      </w:r>
      <w:r>
        <w:t xml:space="preserve">polytomous logistic regression. Imputation models included all other variables, including</w:t>
      </w:r>
      <w:r>
        <w:t xml:space="preserve"> </w:t>
      </w:r>
      <w:r>
        <w:t xml:space="preserve">the survey strata (region and residence) and the log design weight, so that the imputation model</w:t>
      </w:r>
      <w:r>
        <w:t xml:space="preserve"> </w:t>
      </w:r>
      <w:r>
        <w:t xml:space="preserve">reflected the sampling design [11]. Weight-for-age was excluded from the imputation model: it is</w:t>
      </w:r>
      <w:r>
        <w:t xml:space="preserve"> </w:t>
      </w:r>
      <w:r>
        <w:t xml:space="preserve">close to a deterministic function of HAZ and WHZ and is usually missing jointly with them, and its</w:t>
      </w:r>
      <w:r>
        <w:t xml:space="preserve"> </w:t>
      </w:r>
      <w:r>
        <w:t xml:space="preserve">inclusion produced non-mixing chains with drifting variance in diagnostic runs. Imputation models for</w:t>
      </w:r>
      <w:r>
        <w:t xml:space="preserve"> </w:t>
      </w:r>
      <w:r>
        <w:t xml:space="preserve">the maternal variables were fitted only to children whose mother lived in the household, so that</w:t>
      </w:r>
      <w:r>
        <w:t xml:space="preserve"> </w:t>
      </w:r>
      <w:r>
        <w:t xml:space="preserve">structurally inapplicable values were neither used as donors nor imputed. We generated 20 imputed</w:t>
      </w:r>
      <w:r>
        <w:t xml:space="preserve"> </w:t>
      </w:r>
      <w:r>
        <w:t xml:space="preserve">datasets with 20 iterations each; convergence was assessed from trace plots of chain means and</w:t>
      </w:r>
      <w:r>
        <w:t xml:space="preserve"> </w:t>
      </w:r>
      <w:r>
        <w:t xml:space="preserve">standard deviations. Binary outcomes were derived from the imputed z-scores after imputation.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Random-forest multiple imputation (MI-RF)</w:t>
      </w:r>
      <w:r>
        <w:t xml:space="preserve"> </w:t>
      </w:r>
      <w:r>
        <w:t xml:space="preserve">[12,13]. As for MI-PMM, but with every incompletely</w:t>
      </w:r>
      <w:r>
        <w:t xml:space="preserve"> </w:t>
      </w:r>
      <w:r>
        <w:t xml:space="preserve">observed variable imputed by random forests (100 trees; ranger implementation [14]). Unlike single</w:t>
      </w:r>
      <w:r>
        <w:t xml:space="preserve"> </w:t>
      </w:r>
      <w:r>
        <w:t xml:space="preserve">random-forest imputation, this procedure propagates imputation uncertainty through multiple imputed</w:t>
      </w:r>
      <w:r>
        <w:t xml:space="preserve"> </w:t>
      </w:r>
      <w:r>
        <w:t xml:space="preserve">datasets.</w:t>
      </w:r>
    </w:p>
    <w:p>
      <w:pPr>
        <w:pStyle w:val="FirstParagraph"/>
      </w:pPr>
      <w:r>
        <w:t xml:space="preserve">For both MI approaches, the survey design was applied to each completed dataset, and estimates were</w:t>
      </w:r>
      <w:r>
        <w:t xml:space="preserve"> </w:t>
      </w:r>
      <w:r>
        <w:t xml:space="preserve">combined with Rubin’s rules [15] on the logit scale [17]. Inference used Barnard–Rubin small-sample</w:t>
      </w:r>
      <w:r>
        <w:t xml:space="preserve"> </w:t>
      </w:r>
      <w:r>
        <w:t xml:space="preserve">degrees of freedom [16] with the design degrees of freedom as the complete-data value.</w:t>
      </w:r>
    </w:p>
    <w:p>
      <w:pPr>
        <w:pStyle w:val="BodyText"/>
      </w:pPr>
      <w:r>
        <w:rPr>
          <w:b/>
          <w:bCs/>
        </w:rPr>
        <w:t xml:space="preserve">Sensitivity analysis.</w:t>
      </w:r>
      <w:r>
        <w:t xml:space="preserve"> </w:t>
      </w:r>
      <w:r>
        <w:t xml:space="preserve">Because implausible measurements may reflect measurement error, not</w:t>
      </w:r>
      <w:r>
        <w:t xml:space="preserve"> </w:t>
      </w:r>
      <w:r>
        <w:t xml:space="preserve">genuinely extreme values, we repeated all analyses with flagged children excluded from the target</w:t>
      </w:r>
      <w:r>
        <w:t xml:space="preserve"> </w:t>
      </w:r>
      <w:r>
        <w:t xml:space="preserve">population, following the DHS and WHO convention. Exclusions were made separately for each index:</w:t>
      </w:r>
      <w:r>
        <w:t xml:space="preserve"> </w:t>
      </w:r>
      <w:r>
        <w:t xml:space="preserve">flagged-HAZ children for stunting outcomes and flagged-WHZ children for wasting outcomes. By</w:t>
      </w:r>
      <w:r>
        <w:t xml:space="preserve"> </w:t>
      </w:r>
      <w:r>
        <w:t xml:space="preserve">construction, CCA estimates are identical in the main and sensitivity analyses.</w:t>
      </w:r>
    </w:p>
    <w:bookmarkEnd w:id="13"/>
    <w:bookmarkStart w:id="14" w:name="equity-ranking-analysis-rq2"/>
    <w:p>
      <w:pPr>
        <w:pStyle w:val="Heading3"/>
      </w:pPr>
      <w:r>
        <w:t xml:space="preserve">Equity ranking analysis (RQ2)</w:t>
      </w:r>
    </w:p>
    <w:p>
      <w:pPr>
        <w:pStyle w:val="FirstParagraph"/>
      </w:pPr>
      <w:r>
        <w:t xml:space="preserve">Within each method, regions and wealth quintiles were ranked by prevalence of stunting and of wasting</w:t>
      </w:r>
      <w:r>
        <w:t xml:space="preserve"> </w:t>
      </w:r>
      <w:r>
        <w:t xml:space="preserve">(rank 1 = highest). Agreement between methods was summarised for every pair of methods by Spearman’s</w:t>
      </w:r>
      <w:r>
        <w:t xml:space="preserve"> </w:t>
      </w:r>
      <w:r>
        <w:t xml:space="preserve">ρ, Kendall’s τ-b, the largest absolute rank shift and, as a targeting-relevant measure, the overlap of the</w:t>
      </w:r>
      <w:r>
        <w:t xml:space="preserve"> </w:t>
      </w:r>
      <w:r>
        <w:t xml:space="preserve">“worst-affected”</w:t>
      </w:r>
      <w:r>
        <w:t xml:space="preserve"> </w:t>
      </w:r>
      <w:r>
        <w:t xml:space="preserve">set: the five highest-prevalence regions (about the top fifth of 23) and the</w:t>
      </w:r>
      <w:r>
        <w:t xml:space="preserve"> </w:t>
      </w:r>
      <w:r>
        <w:t xml:space="preserve">highest-prevalence wealth quintile. A subgroup was classified as having method-dependent worst-affected</w:t>
      </w:r>
      <w:r>
        <w:t xml:space="preserve"> </w:t>
      </w:r>
      <w:r>
        <w:t xml:space="preserve">status if it belonged to this set under some but not all methods.</w:t>
      </w:r>
    </w:p>
    <w:p>
      <w:pPr>
        <w:pStyle w:val="BodyText"/>
      </w:pPr>
      <w:r>
        <w:t xml:space="preserve">Because rankings of survey estimates are themselves uncertain, we quantified sampling uncertainty in</w:t>
      </w:r>
      <w:r>
        <w:t xml:space="preserve"> </w:t>
      </w:r>
      <w:r>
        <w:t xml:space="preserve">ranks by Monte Carlo simulation. For each method, 10,000 sets of estimates were drawn from the</w:t>
      </w:r>
      <w:r>
        <w:t xml:space="preserve"> </w:t>
      </w:r>
      <w:r>
        <w:t xml:space="preserve">estimated sampling distributions (logit scale, t distribution with the method’s degrees of freedom), and</w:t>
      </w:r>
      <w:r>
        <w:t xml:space="preserve"> </w:t>
      </w:r>
      <w:r>
        <w:t xml:space="preserve">we recorded each subgroup’s probability of being among the worst-affected, its probability of ranking</w:t>
      </w:r>
      <w:r>
        <w:t xml:space="preserve"> </w:t>
      </w:r>
      <w:r>
        <w:t xml:space="preserve">first and its 95% rank interval. Draws were independent across subgroups; this is exact for regions,</w:t>
      </w:r>
      <w:r>
        <w:t xml:space="preserve"> </w:t>
      </w:r>
      <w:r>
        <w:t xml:space="preserve">whose sampling strata are nested within region, and approximate for wealth quintiles. The median</w:t>
      </w:r>
      <w:r>
        <w:t xml:space="preserve"> </w:t>
      </w:r>
      <w:r>
        <w:t xml:space="preserve">agreement between the CCA point ranking and rankings re-drawn from the CCA sampling distribution</w:t>
      </w:r>
      <w:r>
        <w:t xml:space="preserve"> </w:t>
      </w:r>
      <w:r>
        <w:t xml:space="preserve">provided a sampling-noise benchmark against which method-induced reordering was judged.</w:t>
      </w:r>
    </w:p>
    <w:bookmarkEnd w:id="14"/>
    <w:bookmarkStart w:id="15" w:name="simulation-study-rq3"/>
    <w:p>
      <w:pPr>
        <w:pStyle w:val="Heading3"/>
      </w:pPr>
      <w:r>
        <w:t xml:space="preserve">Simulation study (RQ3)</w:t>
      </w:r>
    </w:p>
    <w:p>
      <w:pPr>
        <w:pStyle w:val="FirstParagraph"/>
      </w:pPr>
      <w:r>
        <w:t xml:space="preserve">The simulation study was planned and is reported following the ADEMP framework (aims, data-generating</w:t>
      </w:r>
      <w:r>
        <w:t xml:space="preserve"> </w:t>
      </w:r>
      <w:r>
        <w:t xml:space="preserve">mechanisms, estimands, methods, performance measures) [18]. The full protocol, including a documented</w:t>
      </w:r>
      <w:r>
        <w:t xml:space="preserve"> </w:t>
      </w:r>
      <w:r>
        <w:t xml:space="preserve">amendment made after the pilot, is available with the analysis code.</w:t>
      </w:r>
    </w:p>
    <w:p>
      <w:pPr>
        <w:pStyle w:val="BodyText"/>
      </w:pPr>
      <w:r>
        <w:rPr>
          <w:b/>
          <w:bCs/>
        </w:rPr>
        <w:t xml:space="preserve">Aims.</w:t>
      </w:r>
      <w:r>
        <w:t xml:space="preserve"> </w:t>
      </w:r>
      <w:r>
        <w:t xml:space="preserve">To estimate the bias, precision and CI coverage of each method for survey-weighted stunting and</w:t>
      </w:r>
      <w:r>
        <w:t xml:space="preserve"> </w:t>
      </w:r>
      <w:r>
        <w:t xml:space="preserve">wasting prevalence under MCAR, MAR and MNAR outcome missingness, and the recovery of the true regional</w:t>
      </w:r>
      <w:r>
        <w:t xml:space="preserve"> </w:t>
      </w:r>
      <w:r>
        <w:t xml:space="preserve">ranking.</w:t>
      </w:r>
    </w:p>
    <w:p>
      <w:pPr>
        <w:pStyle w:val="BodyText"/>
      </w:pPr>
      <w:r>
        <w:rPr>
          <w:b/>
          <w:bCs/>
        </w:rPr>
        <w:t xml:space="preserve">Data-generating mechanisms.</w:t>
      </w:r>
      <w:r>
        <w:t xml:space="preserve"> </w:t>
      </w:r>
      <w:r>
        <w:t xml:space="preserve">A pseudo-population was formed from the children with valid HAZ and WHZ</w:t>
      </w:r>
      <w:r>
        <w:t xml:space="preserve"> </w:t>
      </w:r>
      <w:r>
        <w:t xml:space="preserve">and observed maternal covariates (n = 6,247), and its survey-weighted prevalences were taken as the true</w:t>
      </w:r>
      <w:r>
        <w:t xml:space="preserve"> </w:t>
      </w:r>
      <w:r>
        <w:t xml:space="preserve">values. Each replicate proceeded in two steps. First, a new survey sample was drawn by the Rao–Wu</w:t>
      </w:r>
      <w:r>
        <w:t xml:space="preserve"> </w:t>
      </w:r>
      <w:r>
        <w:t xml:space="preserve">rescaling bootstrap [19]: within each stratum, n_h − 1 PSUs were drawn with replacement from the</w:t>
      </w:r>
      <w:r>
        <w:t xml:space="preserve"> </w:t>
      </w:r>
      <w:r>
        <w:t xml:space="preserve">n_h available and weights were rescaled, so that replicate-to-replicate variation reflects the complex</w:t>
      </w:r>
      <w:r>
        <w:t xml:space="preserve"> </w:t>
      </w:r>
      <w:r>
        <w:t xml:space="preserve">sampling design as well as missingness. One stratum with only two PSUs was merged with the rural</w:t>
      </w:r>
      <w:r>
        <w:t xml:space="preserve"> </w:t>
      </w:r>
      <w:r>
        <w:t xml:space="preserve">stratum of the same region for this purpose. Second, HAZ and WHZ were deleted jointly, mirroring the</w:t>
      </w:r>
      <w:r>
        <w:t xml:space="preserve"> </w:t>
      </w:r>
      <w:r>
        <w:t xml:space="preserve">dominant pattern in the survey, where all 178 children with missing (non-flagged) WHZ had not been</w:t>
      </w:r>
      <w:r>
        <w:t xml:space="preserve"> </w:t>
      </w:r>
      <w:r>
        <w:t xml:space="preserve">measured and also lacked HAZ. The probability of missingness followed a logistic model under four</w:t>
      </w:r>
      <w:r>
        <w:t xml:space="preserve"> </w:t>
      </w:r>
      <w:r>
        <w:t xml:space="preserve">mechanisms: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MCAR:</w:t>
      </w:r>
      <w:r>
        <w:t xml:space="preserve"> </w:t>
      </w:r>
      <w:r>
        <w:t xml:space="preserve">constant probability.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MAR:</w:t>
      </w:r>
      <w:r>
        <w:t xml:space="preserve"> </w:t>
      </w:r>
      <w:r>
        <w:t xml:space="preserve">the linear predictor of a logistic regression of observed missingness on region, residence,</w:t>
      </w:r>
      <w:r>
        <w:t xml:space="preserve"> </w:t>
      </w:r>
      <w:r>
        <w:t xml:space="preserve">wealth quintile, sex, age band, mother’s interview status and household size, fitted to the 6,682</w:t>
      </w:r>
      <w:r>
        <w:t xml:space="preserve"> </w:t>
      </w:r>
      <w:r>
        <w:t xml:space="preserve">children, calibrating the mechanism to the survey’s actual missingness pattern.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Strong MAR:</w:t>
      </w:r>
      <w:r>
        <w:t xml:space="preserve"> </w:t>
      </w:r>
      <w:r>
        <w:t xml:space="preserve">log(2) multiplied by each of the standardised covariate-predicted logits of stunting</w:t>
      </w:r>
      <w:r>
        <w:t xml:space="preserve"> </w:t>
      </w:r>
      <w:r>
        <w:t xml:space="preserve">and of wasting, from pseudo-population logistic regressions on the auxiliary variables used by the</w:t>
      </w:r>
      <w:r>
        <w:t xml:space="preserve"> </w:t>
      </w:r>
      <w:r>
        <w:t xml:space="preserve">IPW and MI models. The odds of missingness therefore doubled per standard deviation of predicted</w:t>
      </w:r>
      <w:r>
        <w:t xml:space="preserve"> </w:t>
      </w:r>
      <w:r>
        <w:t xml:space="preserve">undernutrition risk.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MNAR:</w:t>
      </w:r>
      <w:r>
        <w:t xml:space="preserve"> </w:t>
      </w:r>
      <w:r>
        <w:t xml:space="preserve">the MAR linear predictor plus log(2) multiplied by each of the negative standardised HAZ and</w:t>
      </w:r>
      <w:r>
        <w:t xml:space="preserve"> </w:t>
      </w:r>
      <w:r>
        <w:t xml:space="preserve">WHZ, so that the odds of missingness doubled per standard deviation lower z-score, given covariates.</w:t>
      </w:r>
    </w:p>
    <w:p>
      <w:pPr>
        <w:pStyle w:val="FirstParagraph"/>
      </w:pPr>
      <w:r>
        <w:t xml:space="preserve">The intercept was solved numerically in each replicate to give expected missingness proportions of</w:t>
      </w:r>
      <w:r>
        <w:t xml:space="preserve"> </w:t>
      </w:r>
      <w:r>
        <w:t xml:space="preserve">10%, 30% and 50%, yielding 12 scenarios. The strong-MAR mechanism was added after a pilot (20</w:t>
      </w:r>
      <w:r>
        <w:t xml:space="preserve"> </w:t>
      </w:r>
      <w:r>
        <w:t xml:space="preserve">replicates per scenario) showed that the calibrated MAR mechanism induced negligible CCA bias; it</w:t>
      </w:r>
      <w:r>
        <w:t xml:space="preserve"> </w:t>
      </w:r>
      <w:r>
        <w:t xml:space="preserve">has the same structure and strength as the MNAR mechanism, driven by predicted risk and not by the</w:t>
      </w:r>
      <w:r>
        <w:t xml:space="preserve"> </w:t>
      </w:r>
      <w:r>
        <w:t xml:space="preserve">outcome itself.</w:t>
      </w:r>
    </w:p>
    <w:p>
      <w:pPr>
        <w:pStyle w:val="BodyText"/>
      </w:pPr>
      <w:r>
        <w:rPr>
          <w:b/>
          <w:bCs/>
        </w:rPr>
        <w:t xml:space="preserve">Estimands.</w:t>
      </w:r>
      <w:r>
        <w:t xml:space="preserve"> </w:t>
      </w:r>
      <w:r>
        <w:t xml:space="preserve">National stunting and wasting prevalence (primary); prevalence by region and wealth</w:t>
      </w:r>
      <w:r>
        <w:t xml:space="preserve"> </w:t>
      </w:r>
      <w:r>
        <w:t xml:space="preserve">quintile, and the true regional ranking and top-five set (secondary).</w:t>
      </w:r>
    </w:p>
    <w:p>
      <w:pPr>
        <w:pStyle w:val="BodyText"/>
      </w:pPr>
      <w:r>
        <w:rPr>
          <w:b/>
          <w:bCs/>
        </w:rPr>
        <w:t xml:space="preserve">Methods.</w:t>
      </w:r>
      <w:r>
        <w:t xml:space="preserve"> </w:t>
      </w:r>
      <w:r>
        <w:t xml:space="preserve">CCA, IPW, MI-PMM and MI-RF as described above, except that MI used 10 imputations and 10</w:t>
      </w:r>
      <w:r>
        <w:t xml:space="preserve"> </w:t>
      </w:r>
      <w:r>
        <w:t xml:space="preserve">iterations, and MI-RF used 10 trees (the mice default), to make the study computationally feasible.</w:t>
      </w:r>
      <w:r>
        <w:t xml:space="preserve"> </w:t>
      </w:r>
      <w:r>
        <w:t xml:space="preserve">Because no covariates are missing in the pseudo-population, CCA with complete covariates coincides with</w:t>
      </w:r>
      <w:r>
        <w:t xml:space="preserve"> </w:t>
      </w:r>
      <w:r>
        <w:t xml:space="preserve">CCA and was omitted. The estimate from each bootstrap sample before deletion (</w:t>
      </w:r>
      <w:r>
        <w:t xml:space="preserve">“complete data”</w:t>
      </w:r>
      <w:r>
        <w:t xml:space="preserve">) served as</w:t>
      </w:r>
      <w:r>
        <w:t xml:space="preserve"> </w:t>
      </w:r>
      <w:r>
        <w:t xml:space="preserve">a benchmark for the calibration of the resampling and variance estimation. In a sub-study (MAR, 30%</w:t>
      </w:r>
      <w:r>
        <w:t xml:space="preserve"> </w:t>
      </w:r>
      <w:r>
        <w:t xml:space="preserve">missing; 200 replicates), MI-RF was repeated with 50 trees.</w:t>
      </w:r>
    </w:p>
    <w:p>
      <w:pPr>
        <w:pStyle w:val="BodyText"/>
      </w:pPr>
      <w:r>
        <w:rPr>
          <w:b/>
          <w:bCs/>
        </w:rPr>
        <w:t xml:space="preserve">Performance measures.</w:t>
      </w:r>
      <w:r>
        <w:t xml:space="preserve"> </w:t>
      </w:r>
      <w:r>
        <w:t xml:space="preserve">Bias, relative bias, empirical and average model-based standard errors, their</w:t>
      </w:r>
      <w:r>
        <w:t xml:space="preserve"> </w:t>
      </w:r>
      <w:r>
        <w:t xml:space="preserve">ratio, root mean squared error, 95% CI coverage and mean CI width, each with Monte Carlo standard errors</w:t>
      </w:r>
      <w:r>
        <w:t xml:space="preserve"> </w:t>
      </w:r>
      <w:r>
        <w:t xml:space="preserve">[18]; and, for regions, mean absolute bias and coverage across subgroups, the mean Spearman correlation</w:t>
      </w:r>
      <w:r>
        <w:t xml:space="preserve"> </w:t>
      </w:r>
      <w:r>
        <w:t xml:space="preserve">between estimated and true rankings, mean top-five overlap and the proportion of replicates recovering</w:t>
      </w:r>
      <w:r>
        <w:t xml:space="preserve"> </w:t>
      </w:r>
      <w:r>
        <w:t xml:space="preserve">the true top five and the true worst-affected region. With 500 replicates per scenario, the Monte Carlo</w:t>
      </w:r>
      <w:r>
        <w:t xml:space="preserve"> </w:t>
      </w:r>
      <w:r>
        <w:t xml:space="preserve">standard error of coverage is 0.97 percentage points at a true coverage of 95% and at most 2.2 percentage</w:t>
      </w:r>
      <w:r>
        <w:t xml:space="preserve"> </w:t>
      </w:r>
      <w:r>
        <w:t xml:space="preserve">points. Each replicate used its own random-number seed and was stored on completion, so that any</w:t>
      </w:r>
      <w:r>
        <w:t xml:space="preserve"> </w:t>
      </w:r>
      <w:r>
        <w:t xml:space="preserve">replicate can be reproduced individually.</w:t>
      </w:r>
    </w:p>
    <w:bookmarkEnd w:id="15"/>
    <w:bookmarkStart w:id="16" w:name="software-and-reproducibility"/>
    <w:p>
      <w:pPr>
        <w:pStyle w:val="Heading3"/>
      </w:pPr>
      <w:r>
        <w:t xml:space="preserve">Software and reproducibility</w:t>
      </w:r>
    </w:p>
    <w:p>
      <w:pPr>
        <w:pStyle w:val="FirstParagraph"/>
      </w:pPr>
      <w:r>
        <w:t xml:space="preserve">Analyses were conducted in R 4.5.1 [20] using survey 4.5 [4], mice 3.19.0 [8], ranger 0.18.0 [14],</w:t>
      </w:r>
      <w:r>
        <w:t xml:space="preserve"> </w:t>
      </w:r>
      <w:r>
        <w:t xml:space="preserve">haven 2.5.5, dplyr 1.2.1, ggplot2 4.0.2 and gt 1.3.0; package versions are recorded with renv. The</w:t>
      </w:r>
      <w:r>
        <w:t xml:space="preserve"> </w:t>
      </w:r>
      <w:r>
        <w:t xml:space="preserve">global random seed was 20210301. The complete pipeline, from reading the recode files to producing every</w:t>
      </w:r>
      <w:r>
        <w:t xml:space="preserve"> </w:t>
      </w:r>
      <w:r>
        <w:t xml:space="preserve">table and figure, is scripted; apart from the published reference values used for validation, no number</w:t>
      </w:r>
      <w:r>
        <w:t xml:space="preserve"> </w:t>
      </w:r>
      <w:r>
        <w:t xml:space="preserve">was entered by hand. Analysis code is available at</w:t>
      </w:r>
      <w:r>
        <w:t xml:space="preserve"> </w:t>
      </w:r>
      <w:r>
        <w:rPr>
          <w:b/>
          <w:bCs/>
        </w:rPr>
        <w:t xml:space="preserve">[CONFIRM repository URL]</w:t>
      </w:r>
      <w:r>
        <w:t xml:space="preserve">; the DHS microdata are available from The DHS Program on registration and</w:t>
      </w:r>
      <w:r>
        <w:t xml:space="preserve"> </w:t>
      </w:r>
      <w:r>
        <w:t xml:space="preserve">are not redistributed.</w:t>
      </w:r>
    </w:p>
    <w:bookmarkEnd w:id="16"/>
    <w:bookmarkEnd w:id="17"/>
    <w:bookmarkStart w:id="18" w:name="declarations-excerpt"/>
    <w:p>
      <w:pPr>
        <w:pStyle w:val="Heading2"/>
      </w:pPr>
      <w:r>
        <w:t xml:space="preserve">Declarations (excerpt)</w:t>
      </w:r>
    </w:p>
    <w:p>
      <w:pPr>
        <w:pStyle w:val="FirstParagraph"/>
      </w:pPr>
      <w:r>
        <w:rPr>
          <w:b/>
          <w:bCs/>
        </w:rPr>
        <w:t xml:space="preserve">Ethics approval and consent to participate.</w:t>
      </w:r>
      <w:r>
        <w:t xml:space="preserve"> </w:t>
      </w:r>
      <w:r>
        <w:t xml:space="preserve">This study is a secondary analysis of anonymised</w:t>
      </w:r>
      <w:r>
        <w:t xml:space="preserve"> </w:t>
      </w:r>
      <w:r>
        <w:t xml:space="preserve">survey data. The EDSMD-V 2021 protocol, including biomarker collection, was reviewed and approved by the</w:t>
      </w:r>
      <w:r>
        <w:t xml:space="preserve"> </w:t>
      </w:r>
      <w:r>
        <w:t xml:space="preserve">Biomedical Research Ethics Committee of the Ministry of Public Health of Madagascar and by the ICF</w:t>
      </w:r>
      <w:r>
        <w:t xml:space="preserve"> </w:t>
      </w:r>
      <w:r>
        <w:t xml:space="preserve">ethics committee, and informed consent was obtained before biomarker measurement [1].</w:t>
      </w:r>
      <w:r>
        <w:t xml:space="preserve"> </w:t>
      </w:r>
      <w:r>
        <w:rPr>
          <w:b/>
          <w:bCs/>
        </w:rPr>
        <w:t xml:space="preserve">[CONFIRM wording against DHS standard consent procedures and journal requirements.]</w:t>
      </w:r>
      <w:r>
        <w:t xml:space="preserve"> </w:t>
      </w:r>
      <w:r>
        <w:t xml:space="preserve">Data were</w:t>
      </w:r>
      <w:r>
        <w:t xml:space="preserve"> </w:t>
      </w:r>
      <w:r>
        <w:t xml:space="preserve">obtained from The DHS Program under its terms of use.</w:t>
      </w:r>
    </w:p>
    <w:bookmarkEnd w:id="18"/>
    <w:bookmarkStart w:id="19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Institut National de la Statistique (INSTAT), ICF. Enquête Démographique et de Santé à Madagascar,</w:t>
      </w:r>
    </w:p>
    <w:p>
      <w:pPr>
        <w:pStyle w:val="Compact"/>
        <w:numPr>
          <w:ilvl w:val="1"/>
          <w:numId w:val="1004"/>
        </w:numPr>
      </w:pPr>
      <w:r>
        <w:t xml:space="preserve">Antananarivo, Madagascar and Rockville, Maryland, USA: INSTAT and ICF; 2022.</w:t>
      </w:r>
    </w:p>
    <w:p>
      <w:pPr>
        <w:pStyle w:val="Compact"/>
        <w:numPr>
          <w:ilvl w:val="0"/>
          <w:numId w:val="1003"/>
        </w:numPr>
      </w:pPr>
      <w:r>
        <w:t xml:space="preserve">WHO Multicentre Growth Reference Study Group. WHO Child Growth Standards based on length/height,</w:t>
      </w:r>
      <w:r>
        <w:t xml:space="preserve"> </w:t>
      </w:r>
      <w:r>
        <w:t xml:space="preserve">weight and age. Acta Paediatr Suppl. 2006;450:76–85.</w:t>
      </w:r>
    </w:p>
    <w:p>
      <w:pPr>
        <w:pStyle w:val="Compact"/>
        <w:numPr>
          <w:ilvl w:val="0"/>
          <w:numId w:val="1003"/>
        </w:numPr>
      </w:pPr>
      <w:r>
        <w:t xml:space="preserve">Croft TN, Allen CK, Zachary BW, et al. Guide to DHS Statistics: DHS-8. Rockville, Maryland, USA: ICF;</w:t>
      </w:r>
    </w:p>
    <w:p>
      <w:pPr>
        <w:pStyle w:val="Compact"/>
        <w:numPr>
          <w:ilvl w:val="0"/>
          <w:numId w:val="1003"/>
        </w:numPr>
      </w:pPr>
      <w:r>
        <w:t xml:space="preserve">Lumley T. Analysis of complex survey samples. J Stat Softw. 2004;9(8):1–19.</w:t>
      </w:r>
    </w:p>
    <w:p>
      <w:pPr>
        <w:pStyle w:val="Compact"/>
        <w:numPr>
          <w:ilvl w:val="0"/>
          <w:numId w:val="1003"/>
        </w:numPr>
      </w:pPr>
      <w:r>
        <w:t xml:space="preserve">Rao JNK, Scott AJ. On chi-squared tests for multiway contingency tables with cell proportions</w:t>
      </w:r>
      <w:r>
        <w:t xml:space="preserve"> </w:t>
      </w:r>
      <w:r>
        <w:t xml:space="preserve">estimated from survey data. Ann Stat. 1984;12(1):46–60.</w:t>
      </w:r>
    </w:p>
    <w:p>
      <w:pPr>
        <w:pStyle w:val="Compact"/>
        <w:numPr>
          <w:ilvl w:val="0"/>
          <w:numId w:val="1003"/>
        </w:numPr>
      </w:pPr>
      <w:r>
        <w:t xml:space="preserve">Little RJA, Rubin DB. Statistical analysis with missing data. 3rd ed. Hoboken, NJ: Wiley; 2019.</w:t>
      </w:r>
    </w:p>
    <w:p>
      <w:pPr>
        <w:pStyle w:val="Compact"/>
        <w:numPr>
          <w:ilvl w:val="0"/>
          <w:numId w:val="1003"/>
        </w:numPr>
      </w:pPr>
      <w:r>
        <w:t xml:space="preserve">Seaman SR, White IR. Review of inverse probability weighting for dealing with missing data. Stat</w:t>
      </w:r>
      <w:r>
        <w:t xml:space="preserve"> </w:t>
      </w:r>
      <w:r>
        <w:t xml:space="preserve">Methods Med Res. 2013;22(3):278–95.</w:t>
      </w:r>
    </w:p>
    <w:p>
      <w:pPr>
        <w:pStyle w:val="Compact"/>
        <w:numPr>
          <w:ilvl w:val="0"/>
          <w:numId w:val="1003"/>
        </w:numPr>
      </w:pPr>
      <w:r>
        <w:t xml:space="preserve">van Buuren S, Groothuis-Oudshoorn K. mice: Multivariate Imputation by Chained Equations in R. J Stat</w:t>
      </w:r>
      <w:r>
        <w:t xml:space="preserve"> </w:t>
      </w:r>
      <w:r>
        <w:t xml:space="preserve">Softw. 2011;45(3):1–67.</w:t>
      </w:r>
    </w:p>
    <w:p>
      <w:pPr>
        <w:pStyle w:val="Compact"/>
        <w:numPr>
          <w:ilvl w:val="0"/>
          <w:numId w:val="1003"/>
        </w:numPr>
      </w:pPr>
      <w:r>
        <w:t xml:space="preserve">White IR, Royston P, Wood AM. Multiple imputation using chained equations: issues and guidance for</w:t>
      </w:r>
      <w:r>
        <w:t xml:space="preserve"> </w:t>
      </w:r>
      <w:r>
        <w:t xml:space="preserve">practice. Stat Med. 2011;30(4):377–99.</w:t>
      </w:r>
    </w:p>
    <w:p>
      <w:pPr>
        <w:pStyle w:val="Compact"/>
        <w:numPr>
          <w:ilvl w:val="0"/>
          <w:numId w:val="1003"/>
        </w:numPr>
      </w:pPr>
      <w:r>
        <w:t xml:space="preserve">Morris TP, White IR, Royston P. Tuning multiple imputation by predictive mean matching and local</w:t>
      </w:r>
      <w:r>
        <w:t xml:space="preserve"> </w:t>
      </w:r>
      <w:r>
        <w:t xml:space="preserve">residual draws. BMC Med Res Methodol. 2014;14:75.</w:t>
      </w:r>
    </w:p>
    <w:p>
      <w:pPr>
        <w:pStyle w:val="Compact"/>
        <w:numPr>
          <w:ilvl w:val="0"/>
          <w:numId w:val="1003"/>
        </w:numPr>
      </w:pPr>
      <w:r>
        <w:t xml:space="preserve">Reiter JP, Raghunathan TE, Kinney SK. The importance of modeling the sampling design in multiple</w:t>
      </w:r>
      <w:r>
        <w:t xml:space="preserve"> </w:t>
      </w:r>
      <w:r>
        <w:t xml:space="preserve">imputation for missing data. Surv Methodol. 2006;32(2):143–9.</w:t>
      </w:r>
    </w:p>
    <w:p>
      <w:pPr>
        <w:pStyle w:val="Compact"/>
        <w:numPr>
          <w:ilvl w:val="0"/>
          <w:numId w:val="1003"/>
        </w:numPr>
      </w:pPr>
      <w:r>
        <w:t xml:space="preserve">Doove LL, Van Buuren S, Dusseldorp E. Recursive partitioning for missing data imputation in the</w:t>
      </w:r>
      <w:r>
        <w:t xml:space="preserve"> </w:t>
      </w:r>
      <w:r>
        <w:t xml:space="preserve">presence of interaction effects. Comput Stat Data Anal. 2014;72:92–104.</w:t>
      </w:r>
    </w:p>
    <w:p>
      <w:pPr>
        <w:pStyle w:val="Compact"/>
        <w:numPr>
          <w:ilvl w:val="0"/>
          <w:numId w:val="1003"/>
        </w:numPr>
      </w:pPr>
      <w:r>
        <w:t xml:space="preserve">Shah AD, Bartlett JW, Carpenter J, Nicholas O, Hemingway H. Comparison of random forest and</w:t>
      </w:r>
      <w:r>
        <w:t xml:space="preserve"> </w:t>
      </w:r>
      <w:r>
        <w:t xml:space="preserve">parametric imputation models for imputing missing data using MICE: a CALIBER study. Am J Epidemiol.</w:t>
      </w:r>
      <w:r>
        <w:t xml:space="preserve"> </w:t>
      </w:r>
      <w:r>
        <w:t xml:space="preserve">2014;179(6):764–74.</w:t>
      </w:r>
    </w:p>
    <w:p>
      <w:pPr>
        <w:pStyle w:val="Compact"/>
        <w:numPr>
          <w:ilvl w:val="0"/>
          <w:numId w:val="1003"/>
        </w:numPr>
      </w:pPr>
      <w:r>
        <w:t xml:space="preserve">Wright MN, Ziegler A. ranger: a fast implementation of random forests for high dimensional data in</w:t>
      </w:r>
      <w:r>
        <w:t xml:space="preserve"> </w:t>
      </w:r>
      <w:r>
        <w:t xml:space="preserve">C++ and R. J Stat Softw. 2017;77(1):1–17.</w:t>
      </w:r>
    </w:p>
    <w:p>
      <w:pPr>
        <w:pStyle w:val="Compact"/>
        <w:numPr>
          <w:ilvl w:val="0"/>
          <w:numId w:val="1003"/>
        </w:numPr>
      </w:pPr>
      <w:r>
        <w:t xml:space="preserve">Rubin DB. Multiple imputation for nonresponse in surveys. New York: Wiley; 1987.</w:t>
      </w:r>
    </w:p>
    <w:p>
      <w:pPr>
        <w:pStyle w:val="Compact"/>
        <w:numPr>
          <w:ilvl w:val="0"/>
          <w:numId w:val="1003"/>
        </w:numPr>
      </w:pPr>
      <w:r>
        <w:t xml:space="preserve">Barnard J, Rubin DB. Small-sample degrees of freedom with multiple imputation. Biometrika.</w:t>
      </w:r>
      <w:r>
        <w:t xml:space="preserve"> </w:t>
      </w:r>
      <w:r>
        <w:t xml:space="preserve">1999;86(4):948–55.</w:t>
      </w:r>
    </w:p>
    <w:p>
      <w:pPr>
        <w:pStyle w:val="Compact"/>
        <w:numPr>
          <w:ilvl w:val="0"/>
          <w:numId w:val="1003"/>
        </w:numPr>
      </w:pPr>
      <w:r>
        <w:t xml:space="preserve">Marshall A, Altman DG, Holder RL, Royston P. Combining estimates of interest in prognostic modelling</w:t>
      </w:r>
      <w:r>
        <w:t xml:space="preserve"> </w:t>
      </w:r>
      <w:r>
        <w:t xml:space="preserve">studies after multiple imputation: current practice and guidelines. BMC Med Res Methodol. 2009;9:57.</w:t>
      </w:r>
    </w:p>
    <w:p>
      <w:pPr>
        <w:pStyle w:val="Compact"/>
        <w:numPr>
          <w:ilvl w:val="0"/>
          <w:numId w:val="1003"/>
        </w:numPr>
      </w:pPr>
      <w:r>
        <w:t xml:space="preserve">Morris TP, White IR, Crowther MJ. Using simulation studies to evaluate statistical methods. Stat Med.</w:t>
      </w:r>
      <w:r>
        <w:t xml:space="preserve"> </w:t>
      </w:r>
      <w:r>
        <w:t xml:space="preserve">2019;38(11):2074–102.</w:t>
      </w:r>
    </w:p>
    <w:p>
      <w:pPr>
        <w:pStyle w:val="Compact"/>
        <w:numPr>
          <w:ilvl w:val="0"/>
          <w:numId w:val="1003"/>
        </w:numPr>
      </w:pPr>
      <w:r>
        <w:t xml:space="preserve">Rao JNK, Wu CFJ. Resampling inference with complex survey data. J Am Stat Assoc.</w:t>
      </w:r>
      <w:r>
        <w:t xml:space="preserve"> </w:t>
      </w:r>
      <w:r>
        <w:t xml:space="preserve">1988;83(401):231–41.</w:t>
      </w:r>
    </w:p>
    <w:p>
      <w:pPr>
        <w:pStyle w:val="Compact"/>
        <w:numPr>
          <w:ilvl w:val="0"/>
          <w:numId w:val="1003"/>
        </w:numPr>
      </w:pPr>
      <w:r>
        <w:t xml:space="preserve">R Core Team. R: a language and environment for statistical computing. Vienna, Austria: R Foundation</w:t>
      </w:r>
      <w:r>
        <w:t xml:space="preserve"> </w:t>
      </w:r>
      <w:r>
        <w:t xml:space="preserve">for Statistical Computing; 2025.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021">
    <w:nsid w:val="A99412021"/>
    <w:multiLevelType w:val="multilevel"/>
    <w:lvl w:ilvl="0">
      <w:start w:val="2021"/>
      <w:numFmt w:val="decimal"/>
      <w:lvlText w:val="%1."/>
      <w:lvlJc w:val="left"/>
      <w:pPr>
        <w:ind w:left="720" w:hanging="360"/>
      </w:pPr>
    </w:lvl>
    <w:lvl w:ilvl="1">
      <w:start w:val="2021"/>
      <w:numFmt w:val="decimal"/>
      <w:lvlText w:val="%2."/>
      <w:lvlJc w:val="left"/>
      <w:pPr>
        <w:ind w:left="1440" w:hanging="360"/>
      </w:pPr>
    </w:lvl>
    <w:lvl w:ilvl="2">
      <w:start w:val="2021"/>
      <w:numFmt w:val="decimal"/>
      <w:lvlText w:val="%3."/>
      <w:lvlJc w:val="left"/>
      <w:pPr>
        <w:ind w:left="2160" w:hanging="360"/>
      </w:pPr>
    </w:lvl>
    <w:lvl w:ilvl="3">
      <w:start w:val="2021"/>
      <w:numFmt w:val="decimal"/>
      <w:lvlText w:val="%4."/>
      <w:lvlJc w:val="left"/>
      <w:pPr>
        <w:ind w:left="2880" w:hanging="360"/>
      </w:pPr>
    </w:lvl>
    <w:lvl w:ilvl="4">
      <w:start w:val="2021"/>
      <w:numFmt w:val="decimal"/>
      <w:lvlText w:val="%5."/>
      <w:lvlJc w:val="left"/>
      <w:pPr>
        <w:ind w:left="3600" w:hanging="360"/>
      </w:pPr>
    </w:lvl>
    <w:lvl w:ilvl="5">
      <w:start w:val="2021"/>
      <w:numFmt w:val="decimal"/>
      <w:lvlText w:val="%6."/>
      <w:lvlJc w:val="left"/>
      <w:pPr>
        <w:ind w:left="4320" w:hanging="360"/>
      </w:pPr>
    </w:lvl>
    <w:lvl w:ilvl="6">
      <w:start w:val="2021"/>
      <w:numFmt w:val="decimal"/>
      <w:lvlText w:val="%7."/>
      <w:lvlJc w:val="left"/>
      <w:pPr>
        <w:ind w:left="5040" w:hanging="360"/>
      </w:pPr>
    </w:lvl>
    <w:lvl w:ilvl="7">
      <w:start w:val="2021"/>
      <w:numFmt w:val="decimal"/>
      <w:lvlText w:val="%8."/>
      <w:lvlJc w:val="left"/>
      <w:pPr>
        <w:ind w:left="5760" w:hanging="360"/>
      </w:pPr>
    </w:lvl>
    <w:lvl w:ilvl="8">
      <w:start w:val="2021"/>
      <w:numFmt w:val="decimal"/>
      <w:lvlText w:val="%9."/>
      <w:lvlJc w:val="left"/>
      <w:pPr>
        <w:ind w:left="6480" w:hanging="360"/>
      </w:pPr>
    </w:lvl>
  </w:abstractNum>
  <w:abstractNum w:abstractNumId="99412023">
    <w:nsid w:val="A99412023"/>
    <w:multiLevelType w:val="multilevel"/>
    <w:lvl w:ilvl="0">
      <w:start w:val="2023"/>
      <w:numFmt w:val="decimal"/>
      <w:lvlText w:val="%1."/>
      <w:lvlJc w:val="left"/>
      <w:pPr>
        <w:ind w:left="720" w:hanging="360"/>
      </w:pPr>
    </w:lvl>
    <w:lvl w:ilvl="1">
      <w:start w:val="2023"/>
      <w:numFmt w:val="decimal"/>
      <w:lvlText w:val="%2."/>
      <w:lvlJc w:val="left"/>
      <w:pPr>
        <w:ind w:left="1440" w:hanging="360"/>
      </w:pPr>
    </w:lvl>
    <w:lvl w:ilvl="2">
      <w:start w:val="2023"/>
      <w:numFmt w:val="decimal"/>
      <w:lvlText w:val="%3."/>
      <w:lvlJc w:val="left"/>
      <w:pPr>
        <w:ind w:left="2160" w:hanging="360"/>
      </w:pPr>
    </w:lvl>
    <w:lvl w:ilvl="3">
      <w:start w:val="2023"/>
      <w:numFmt w:val="decimal"/>
      <w:lvlText w:val="%4."/>
      <w:lvlJc w:val="left"/>
      <w:pPr>
        <w:ind w:left="2880" w:hanging="360"/>
      </w:pPr>
    </w:lvl>
    <w:lvl w:ilvl="4">
      <w:start w:val="2023"/>
      <w:numFmt w:val="decimal"/>
      <w:lvlText w:val="%5."/>
      <w:lvlJc w:val="left"/>
      <w:pPr>
        <w:ind w:left="3600" w:hanging="360"/>
      </w:pPr>
    </w:lvl>
    <w:lvl w:ilvl="5">
      <w:start w:val="2023"/>
      <w:numFmt w:val="decimal"/>
      <w:lvlText w:val="%6."/>
      <w:lvlJc w:val="left"/>
      <w:pPr>
        <w:ind w:left="4320" w:hanging="360"/>
      </w:pPr>
    </w:lvl>
    <w:lvl w:ilvl="6">
      <w:start w:val="2023"/>
      <w:numFmt w:val="decimal"/>
      <w:lvlText w:val="%7."/>
      <w:lvlJc w:val="left"/>
      <w:pPr>
        <w:ind w:left="5040" w:hanging="360"/>
      </w:pPr>
    </w:lvl>
    <w:lvl w:ilvl="7">
      <w:start w:val="2023"/>
      <w:numFmt w:val="decimal"/>
      <w:lvlText w:val="%8."/>
      <w:lvlJc w:val="left"/>
      <w:pPr>
        <w:ind w:left="5760" w:hanging="360"/>
      </w:pPr>
    </w:lvl>
    <w:lvl w:ilvl="8">
      <w:start w:val="202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021"/>
    <w:lvlOverride w:ilvl="0">
      <w:startOverride w:val="2021"/>
    </w:lvlOverride>
    <w:lvlOverride w:ilvl="1">
      <w:startOverride w:val="2021"/>
    </w:lvlOverride>
    <w:lvlOverride w:ilvl="2">
      <w:startOverride w:val="2021"/>
    </w:lvlOverride>
    <w:lvlOverride w:ilvl="3">
      <w:startOverride w:val="2021"/>
    </w:lvlOverride>
    <w:lvlOverride w:ilvl="4">
      <w:startOverride w:val="2021"/>
    </w:lvlOverride>
    <w:lvlOverride w:ilvl="5">
      <w:startOverride w:val="2021"/>
    </w:lvlOverride>
    <w:lvlOverride w:ilvl="6">
      <w:startOverride w:val="2021"/>
    </w:lvlOverride>
    <w:lvlOverride w:ilvl="7">
      <w:startOverride w:val="2021"/>
    </w:lvlOverride>
    <w:lvlOverride w:ilvl="8">
      <w:startOverride w:val="2021"/>
    </w:lvlOverride>
  </w:num>
  <w:num w:numId="1005">
    <w:abstractNumId w:val="99412023"/>
    <w:lvlOverride w:ilvl="0">
      <w:startOverride w:val="2023"/>
    </w:lvlOverride>
    <w:lvlOverride w:ilvl="1">
      <w:startOverride w:val="2023"/>
    </w:lvlOverride>
    <w:lvlOverride w:ilvl="2">
      <w:startOverride w:val="2023"/>
    </w:lvlOverride>
    <w:lvlOverride w:ilvl="3">
      <w:startOverride w:val="2023"/>
    </w:lvlOverride>
    <w:lvlOverride w:ilvl="4">
      <w:startOverride w:val="2023"/>
    </w:lvlOverride>
    <w:lvlOverride w:ilvl="5">
      <w:startOverride w:val="2023"/>
    </w:lvlOverride>
    <w:lvlOverride w:ilvl="6">
      <w:startOverride w:val="2023"/>
    </w:lvlOverride>
    <w:lvlOverride w:ilvl="7">
      <w:startOverride w:val="2023"/>
    </w:lvlOverride>
    <w:lvlOverride w:ilvl="8">
      <w:startOverride w:val="202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Methods (draft)</dc:title>
  <dc:creator/>
  <cp:keywords/>
  <dcterms:created xsi:type="dcterms:W3CDTF">2026-09-13T18:32:03Z</dcterms:created>
  <dcterms:modified xsi:type="dcterms:W3CDTF">2026-09-13T18:32:03Z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Draft of 13 September 2026 — for author review</vt:lpwstr>
  </property>
  <property fmtid="{D5CDD505-2E9C-101B-9397-08002B2CF9AE}" pid="3" name="subtitle">
    <vt:lpwstr>Missing-data methods and equity estimates of child undernutrition: Madagascar DHS 2021</vt:lpwstr>
  </property>
</Properties>
</file>