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S2. Prevalence by missing-data method, sensitivity analysis excluding WHO-flagged z-scores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Prevalence, % (95% CI)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valid / 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 (outcome + covariates)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6402 / 6659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(37.9–41.6)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(38.1–41.6)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39.9 (38.1–41.7)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44.0 (39.1–49.1)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(38.3–48.7)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44.5 (39.6–49.5)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44.1 (39.0–49.2)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43.5 (38.4–48.7)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48.2 (40.1–56.5)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48.2 (40.0–56.5)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 / 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51.9 (43.3–60.4)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52.1 (43.3–60.8)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(43.0–59.9)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51.8 (43.3–60.2)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(43.0–60.0)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 / 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(42.8–60.2)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(42.8–60.3)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51.4 (42.6–60.2)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37.5 (30.4–45.3)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37.7 (30.7–45.2)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(30.7–45.1)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(41.7–56.4)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49.4 (42.2–56.7)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 / 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(41.6–56.6)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(41.4–56.7)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49.6 (42.0–57.2)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(41.7–56.7)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(41.6–56.5)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(38.5–53.1)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45.8 (38.4–53.3)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46.1 (38.7–53.7)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45.5 (38.5–52.6)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45.6 (38.5–52.8)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(26.0–40.0)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(26.1–40.1)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(26.1–40.0)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(26.0–39.9)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(26.2–40.0)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 / 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(42.8–53.8)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 / 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(31.1–44.6)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37.0 (30.5–43.9)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38.5 (31.4–46.1)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37.8 (31.4–44.7)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38.0 (31.5–44.9)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287 / 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(28.4–44.8)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36.4 (28.7–44.8)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36.1 (28.6–44.4)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44.9 (37.8–52.1)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45.0 (37.7–52.5)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44.8 (37.9–51.9)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45.1 (38.1–52.3)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44.9 (38.0–52.0)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28.8 (22.1–36.6)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29.0 (22.2–36.8)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28.7 (22.0–36.5)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28.9 (22.3–36.6)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28.1 (20.8–36.9)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27.3 (20.0–36.1)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(21.0–37.1)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28.2 (21.0–36.7)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28.3 (21.0–36.9)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(23.8–36.1)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29.9 (24.1–36.3)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29.4 (23.4–36.2)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(24.2–36.6)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29.9 (24.0–36.6)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 / 275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22.3 (19.0–25.9)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22.0 (18.9–25.6)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22.4 (19.1–26.2)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22.4 (19.0–26.3)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22.5 (19.1–26.1)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 / 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26.7 (20.7–33.8)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26.5 (20.7–33.3)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27.1 (20.8–34.5)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26.7 (20.8–33.6)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26.8 (20.8–33.9)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429 / 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45.3 (40.6–50.1)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(40.8–50.8)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43.3 (38.0–48.7)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45.2 (40.3–50.1)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45.6 (40.8–50.6)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327 / 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46.7 (38.5–55.1)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46.9 (38.6–55.4)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47.0 (38.7–55.4)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284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(29.6–40.6)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34.1 (28.6–40.1)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(29.7–40.6)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(29.6–40.6)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(29.7–40.5)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 / 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21.7 (15.0–30.3)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21.2 (14.5–29.9)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21.7 (15.0–30.4)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21.8 (15.2–30.4)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21.9 (15.1–30.5)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 / 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31.0 (24.6–38.1)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(24.8–38.3)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31.1 (24.6–38.5)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31.1 (24.6–38.6)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(24.5–38.8)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1749 / 1827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42.2 (39.2–45.3)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(39.7–45.8)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42.7 (39.7–45.8)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1424 / 1493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(40.3–46.6)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43.2 (40.1–46.4)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43.8 (40.6–47.1)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43.3 (40.1–46.5)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(40.3–46.6)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1285 / 1316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(36.6–43.8)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(36.2–43.4)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40.3 (36.7–44.0)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(36.5–43.7)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(36.5–43.8)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986 / 1021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(35.8–43.7)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39.2 (35.3–43.3)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 / 1002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(25.7–34.7)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(25.3–34.3)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(25.8–34.7)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30.2 (25.9–34.8)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30.1 (25.8–34.7)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6478 / 6656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3.5 (2.0–6.3)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215 / 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 (2.3–9.4)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5.3 (2.7–10.1)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5.0 (2.6–9.6)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 / 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3.9 (2.2–6.8)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(2.3–7.1)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(4.8–10.9)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(5.2–10.9)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(5.1–10.8)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256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2.5 (0.6–9.4)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 / 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 / 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 (7.4–13.9)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(6.5–13.7)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10.3 (7.4–14.2)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 (7.3–14.0)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(7.2–13.7)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 / 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(9.5–15.9)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12.5 (9.6–16.1)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(5.0–14.3)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288 / 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(7.3–17.0)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(7.3–17.1)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11.2 (7.3–16.9)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(2.0–7.3)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12.7 (8.5–18.4)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(8.2–18.0)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(6.1–15.2)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(6.3–15.4)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9.6 (6.0–15.0)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(6.2–15.1)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(4.2–11.2)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(4.2–13.7)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(4.2–12.7)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(4.3–12.5)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270 / 275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 (3.2–11.1)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5.8 (3.0–10.9)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 / 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(4.2–11.0)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(4.0–11.0)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(4.3–11.0)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(4.3–11.0)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(4.1–10.8)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 / 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15.2 (10.8–20.8)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15.6 (11.2–21.3)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14.9 (10.6–20.4)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328 / 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(7.2–13.9)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(7.1–13.5)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(7.1–13.6)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286 / 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(3.1–15.2)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6.6 (3.1–13.6)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(3.2–13.7)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 / 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(4.8–12.6)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(4.7–12.4)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 / 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9.6 (6.1–14.8)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1783 / 1829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(8.3–12.2)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(8.1–11.8)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1447 / 1490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8.2 (6.6–10.0)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(6.4–9.7)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(6.5–9.8)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1292 / 1312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(5.1–8.6)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(5.4–9.1)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 / 1021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963 / 1004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(5.1–9.3)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CCA, complete-case analysis (DHS definition); CCA (outcome + covariates), additionally requires observed mother's age and education; IPW, inverse probability weighting; MI-PMM, multiple imputation by predictive mean matching; MI-RF, random-forest multiple imputation (m = 20). All estimates survey-weighted; CIs on the logit scale. † Top-5 worst-affected status differs between methods.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2026-09-16T05:24:54Z</dcterms:created>
  <dcterms:modified xsi:type="dcterms:W3CDTF">2026-09-16T05:24:54Z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