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Discussion (draft)</w:t>
      </w:r>
    </w:p>
    <w:p>
      <w:pPr>
        <w:pStyle w:val="Subtitle"/>
      </w:pPr>
      <w:r>
        <w:t xml:space="preserve">Missing-data methods and equity estimates of child undernutrition: Madagascar DHS 2021</w:t>
      </w:r>
    </w:p>
    <w:p>
      <w:pPr>
        <w:pStyle w:val="Date"/>
      </w:pPr>
      <w:r>
        <w:t xml:space="preserve">Draft of 13 September 2026 — for author review</w:t>
      </w:r>
    </w:p>
    <w:p>
      <w:pPr>
        <w:pStyle w:val="BlockText"/>
      </w:pPr>
      <w:r>
        <w:rPr>
          <w:b/>
          <w:bCs/>
        </w:rPr>
        <w:t xml:space="preserve">Drafting notes (delete before submission).</w:t>
      </w:r>
    </w:p>
    <w:p>
      <w:pPr>
        <w:pStyle w:val="Compact"/>
        <w:numPr>
          <w:ilvl w:val="0"/>
          <w:numId w:val="1001"/>
        </w:numPr>
      </w:pPr>
      <w:r>
        <w:t xml:space="preserve">RQ1/RQ2 statements are consistent with</w:t>
      </w:r>
      <w:r>
        <w:t xml:space="preserve"> </w:t>
      </w:r>
      <w:r>
        <w:rPr>
          <w:rStyle w:val="VerbatimChar"/>
        </w:rPr>
        <w:t xml:space="preserve">results_rq1_rq2_draft.md</w:t>
      </w:r>
      <w:r>
        <w:t xml:space="preserve"> </w:t>
      </w:r>
      <w:r>
        <w:t xml:space="preserve">and RQ3 statements with</w:t>
      </w:r>
      <w:r>
        <w:t xml:space="preserve"> </w:t>
      </w:r>
      <w:r>
        <w:rPr>
          <w:rStyle w:val="VerbatimChar"/>
        </w:rPr>
        <w:t xml:space="preserve">results_rq3_draft.md</w:t>
      </w:r>
      <w:r>
        <w:t xml:space="preserve"> </w:t>
      </w:r>
      <w:r>
        <w:t xml:space="preserve">(full run: 12 scenarios x 500 replicates, completed 16 September 2026).</w:t>
      </w:r>
      <w:r>
        <w:t xml:space="preserve"> </w:t>
      </w:r>
      <w:r>
        <w:t xml:space="preserve">Numbers are repeated only where needed for interpretation.</w:t>
      </w:r>
    </w:p>
    <w:p>
      <w:pPr>
        <w:pStyle w:val="Compact"/>
        <w:numPr>
          <w:ilvl w:val="0"/>
          <w:numId w:val="1001"/>
        </w:numPr>
      </w:pPr>
      <w:r>
        <w:t xml:space="preserve">References continue the numbering of the Methods draft (1-20) and must be renumbered in order of</w:t>
      </w:r>
      <w:r>
        <w:t xml:space="preserve"> </w:t>
      </w:r>
      <w:r>
        <w:t xml:space="preserve">first citation when the manuscript is assembled.</w:t>
      </w:r>
      <w:r>
        <w:t xml:space="preserve"> </w:t>
      </w:r>
      <w:r>
        <w:rPr>
          <w:b/>
          <w:bCs/>
        </w:rPr>
        <w:t xml:space="preserve">Verify every reference before submission.</w:t>
      </w:r>
    </w:p>
    <w:p>
      <w:pPr>
        <w:pStyle w:val="Compact"/>
        <w:numPr>
          <w:ilvl w:val="0"/>
          <w:numId w:val="1001"/>
        </w:numPr>
      </w:pPr>
      <w:r>
        <w:t xml:space="preserve">Items marked</w:t>
      </w:r>
      <w:r>
        <w:t xml:space="preserve"> </w:t>
      </w:r>
      <w:r>
        <w:rPr>
          <w:b/>
          <w:bCs/>
        </w:rPr>
        <w:t xml:space="preserve">[CONFIRM]</w:t>
      </w:r>
      <w:r>
        <w:t xml:space="preserve"> </w:t>
      </w:r>
      <w:r>
        <w:t xml:space="preserve">need an author decision.</w:t>
      </w:r>
    </w:p>
    <w:bookmarkStart w:id="15" w:name="discussion"/>
    <w:p>
      <w:pPr>
        <w:pStyle w:val="Heading2"/>
      </w:pPr>
      <w:r>
        <w:t xml:space="preserve">Discussion</w:t>
      </w:r>
    </w:p>
    <w:bookmarkStart w:id="9" w:name="principal-findings"/>
    <w:p>
      <w:pPr>
        <w:pStyle w:val="Heading3"/>
      </w:pPr>
      <w:r>
        <w:t xml:space="preserve">Principal findings</w:t>
      </w:r>
    </w:p>
    <w:p>
      <w:pPr>
        <w:pStyle w:val="FirstParagraph"/>
      </w:pPr>
      <w:r>
        <w:t xml:space="preserve">In the 2021 Madagascar DHS, the choice of missing-data method barely affected estimates of child</w:t>
      </w:r>
      <w:r>
        <w:t xml:space="preserve"> </w:t>
      </w:r>
      <w:r>
        <w:t xml:space="preserve">undernutrition. National stunting and wasting prevalence under inverse probability weighting and two</w:t>
      </w:r>
      <w:r>
        <w:t xml:space="preserve"> </w:t>
      </w:r>
      <w:r>
        <w:t xml:space="preserve">forms of multiple imputation differed from complete-case estimates by a few hundredths of a</w:t>
      </w:r>
      <w:r>
        <w:t xml:space="preserve"> </w:t>
      </w:r>
      <w:r>
        <w:t xml:space="preserve">percentage point, and CIs were practically identical. Subgroup estimates moved more, by up to</w:t>
      </w:r>
      <w:r>
        <w:t xml:space="preserve"> </w:t>
      </w:r>
      <w:r>
        <w:t xml:space="preserve">1.6 percentage points for regional stunting, but concordance between regional and wealth-quintile</w:t>
      </w:r>
      <w:r>
        <w:t xml:space="preserve"> </w:t>
      </w:r>
      <w:r>
        <w:t xml:space="preserve">rankings was very high. The five worst-affected regions were identical under CCA, IPW, MI-PMM and</w:t>
      </w:r>
      <w:r>
        <w:t xml:space="preserve"> </w:t>
      </w:r>
      <w:r>
        <w:t xml:space="preserve">MI-RF. The two changes to that set occurred only when analysis was restricted to children with complete</w:t>
      </w:r>
      <w:r>
        <w:t xml:space="preserve"> </w:t>
      </w:r>
      <w:r>
        <w:t xml:space="preserve">maternal covariates, an approach that changes the target population, not the estimator.</w:t>
      </w:r>
    </w:p>
    <w:p>
      <w:pPr>
        <w:pStyle w:val="BodyText"/>
      </w:pPr>
      <w:r>
        <w:t xml:space="preserve">The more consequential finding concerns uncertainty, not bias. Sampling error alone reordered</w:t>
      </w:r>
      <w:r>
        <w:t xml:space="preserve"> </w:t>
      </w:r>
      <w:r>
        <w:t xml:space="preserve">regional rankings far more than any change of method: the median Spearman correlation between the</w:t>
      </w:r>
      <w:r>
        <w:t xml:space="preserve"> </w:t>
      </w:r>
      <w:r>
        <w:t xml:space="preserve">complete-case ranking and rankings re-drawn from its own sampling distribution was 0.93 for stunting</w:t>
      </w:r>
      <w:r>
        <w:t xml:space="preserve"> </w:t>
      </w:r>
      <w:r>
        <w:t xml:space="preserve">and 0.88 for wasting, whereas agreement between methods never fell below 0.987. No region’s place</w:t>
      </w:r>
      <w:r>
        <w:t xml:space="preserve"> </w:t>
      </w:r>
      <w:r>
        <w:t xml:space="preserve">among the five most stunted was secure, and the regions whose worst-affected status depended on the</w:t>
      </w:r>
      <w:r>
        <w:t xml:space="preserve"> </w:t>
      </w:r>
      <w:r>
        <w:t xml:space="preserve">method were precisely those with the most uncertain rank. For decisions about geographic targeting,</w:t>
      </w:r>
      <w:r>
        <w:t xml:space="preserve"> </w:t>
      </w:r>
      <w:r>
        <w:t xml:space="preserve">the uncertainty inherent in ranking 23 survey domains outweighed the choice of missing-data method in</w:t>
      </w:r>
      <w:r>
        <w:t xml:space="preserve"> </w:t>
      </w:r>
      <w:r>
        <w:t xml:space="preserve">this survey.</w:t>
      </w:r>
    </w:p>
    <w:p>
      <w:pPr>
        <w:pStyle w:val="BodyText"/>
      </w:pPr>
      <w:r>
        <w:t xml:space="preserve">The simulation showed when that agreement can be expected and when it cannot. Under MCAR and under</w:t>
      </w:r>
      <w:r>
        <w:t xml:space="preserve"> </w:t>
      </w:r>
      <w:r>
        <w:t xml:space="preserve">the mechanism calibrated to the survey’s own missingness, all four methods were essentially unbiased</w:t>
      </w:r>
      <w:r>
        <w:t xml:space="preserve"> </w:t>
      </w:r>
      <w:r>
        <w:t xml:space="preserve">at 10-50% missingness, reproducing what we observed empirically. Under strong MAR, where missingness</w:t>
      </w:r>
      <w:r>
        <w:t xml:space="preserve"> </w:t>
      </w:r>
      <w:r>
        <w:t xml:space="preserve">depended on covariate-predicted undernutrition risk, the methods diverged sharply: at 50% missingness</w:t>
      </w:r>
      <w:r>
        <w:t xml:space="preserve"> </w:t>
      </w:r>
      <w:r>
        <w:t xml:space="preserve">complete-case analysis under-estimated stunting by 3.68 pp with 11% CI coverage, IPW was unbiased</w:t>
      </w:r>
      <w:r>
        <w:t xml:space="preserve"> </w:t>
      </w:r>
      <w:r>
        <w:t xml:space="preserve">(-0.04 pp) with 94.8% coverage, and multiple imputation removed most but not all of the bias</w:t>
      </w:r>
      <w:r>
        <w:t xml:space="preserve"> </w:t>
      </w:r>
      <w:r>
        <w:t xml:space="preserve">(-0.90 pp for MI-PMM, -1.69 pp for MI-RF). Under MNAR no method recovered the truth: all were biased</w:t>
      </w:r>
      <w:r>
        <w:t xml:space="preserve"> </w:t>
      </w:r>
      <w:r>
        <w:t xml:space="preserve">by about -10 pp at 50% missingness with zero coverage. Recovery of the regional ranking, by contrast,</w:t>
      </w:r>
      <w:r>
        <w:t xml:space="preserve"> </w:t>
      </w:r>
      <w:r>
        <w:t xml:space="preserve">was poor in every scenario, including with complete data.</w:t>
      </w:r>
    </w:p>
    <w:bookmarkEnd w:id="9"/>
    <w:bookmarkStart w:id="10" w:name="why-the-methods-agreed"/>
    <w:p>
      <w:pPr>
        <w:pStyle w:val="Heading3"/>
      </w:pPr>
      <w:r>
        <w:t xml:space="preserve">Why the methods agreed</w:t>
      </w:r>
    </w:p>
    <w:p>
      <w:pPr>
        <w:pStyle w:val="FirstParagraph"/>
      </w:pPr>
      <w:r>
        <w:t xml:space="preserve">Three features of these data explain the agreement, and they indicate when it cannot be assumed.</w:t>
      </w:r>
      <w:r>
        <w:t xml:space="preserve"> </w:t>
      </w:r>
      <w:r>
        <w:t xml:space="preserve">First, outcome missingness was low: about 4% of children lacked a valid HAZ and 3% a valid WHZ.</w:t>
      </w:r>
      <w:r>
        <w:t xml:space="preserve"> </w:t>
      </w:r>
      <w:r>
        <w:t xml:space="preserve">The bias of a complete-case estimate is bounded by the proportion missing, so with so few missing</w:t>
      </w:r>
      <w:r>
        <w:t xml:space="preserve"> </w:t>
      </w:r>
      <w:r>
        <w:t xml:space="preserve">outcomes even a selective mechanism can shift national prevalence only slightly. Second, although</w:t>
      </w:r>
      <w:r>
        <w:t xml:space="preserve"> </w:t>
      </w:r>
      <w:r>
        <w:t xml:space="preserve">missingness was clearly not completely at random, it was concentrated in small groups. It reached</w:t>
      </w:r>
      <w:r>
        <w:t xml:space="preserve"> </w:t>
      </w:r>
      <w:r>
        <w:t xml:space="preserve">44.6% among children whose mother’s interview was incomplete, but that group comprised 193 children,</w:t>
      </w:r>
      <w:r>
        <w:t xml:space="preserve"> </w:t>
      </w:r>
      <w:r>
        <w:t xml:space="preserve">whereas missingness was 2.4% among the large majority whose mother was interviewed. Such concentrated</w:t>
      </w:r>
      <w:r>
        <w:t xml:space="preserve"> </w:t>
      </w:r>
      <w:r>
        <w:t xml:space="preserve">selection has little leverage on the national estimate unless those groups differ greatly in outcome.</w:t>
      </w:r>
      <w:r>
        <w:t xml:space="preserve"> </w:t>
      </w:r>
      <w:r>
        <w:t xml:space="preserve">Third, IPW and both MI methods drew on largely the same auxiliary information, so under MAR given those</w:t>
      </w:r>
      <w:r>
        <w:t xml:space="preserve"> </w:t>
      </w:r>
      <w:r>
        <w:t xml:space="preserve">covariates they target the same estimand and would be expected to agree with each other. They differ</w:t>
      </w:r>
      <w:r>
        <w:t xml:space="preserve"> </w:t>
      </w:r>
      <w:r>
        <w:t xml:space="preserve">from CCA only to the extent that the covariates predicting missingness also predict the outcome.</w:t>
      </w:r>
    </w:p>
    <w:p>
      <w:pPr>
        <w:pStyle w:val="BodyText"/>
      </w:pPr>
      <w:r>
        <w:t xml:space="preserve">The largest subgroup differences arose where these conditions weakened. Androy had the highest</w:t>
      </w:r>
      <w:r>
        <w:t xml:space="preserve"> </w:t>
      </w:r>
      <w:r>
        <w:t xml:space="preserve">proportion of children without a valid HAZ, and IPW lowered its stunting estimate by 1.6 percentage</w:t>
      </w:r>
      <w:r>
        <w:t xml:space="preserve"> </w:t>
      </w:r>
      <w:r>
        <w:t xml:space="preserve">points. That region-specific correction is plausible, but it rests entirely on the MAR assumption</w:t>
      </w:r>
      <w:r>
        <w:t xml:space="preserve"> </w:t>
      </w:r>
      <w:r>
        <w:t xml:space="preserve">within a single domain of fewer than 500 children, and its magnitude was well within the region’s</w:t>
      </w:r>
      <w:r>
        <w:t xml:space="preserve"> </w:t>
      </w:r>
      <w:r>
        <w:t xml:space="preserve">sampling uncertainty. It illustrates that national agreement does not guarantee agreement within</w:t>
      </w:r>
      <w:r>
        <w:t xml:space="preserve"> </w:t>
      </w:r>
      <w:r>
        <w:t xml:space="preserve">subgroups where missingness is concentrated.</w:t>
      </w:r>
    </w:p>
    <w:p>
      <w:pPr>
        <w:pStyle w:val="BodyText"/>
      </w:pPr>
      <w:r>
        <w:t xml:space="preserve">These findings agree with guidance that the proportion of missing data alone is a poor guide to</w:t>
      </w:r>
      <w:r>
        <w:t xml:space="preserve"> </w:t>
      </w:r>
      <w:r>
        <w:t xml:space="preserve">analysis strategy, and that complete-case analysis can be adequate when missingness is low and</w:t>
      </w:r>
      <w:r>
        <w:t xml:space="preserve"> </w:t>
      </w:r>
      <w:r>
        <w:t xml:space="preserve">plausibly unrelated to the outcome given the design [21,22]. They also show that such adequacy should</w:t>
      </w:r>
      <w:r>
        <w:t xml:space="preserve"> </w:t>
      </w:r>
      <w:r>
        <w:t xml:space="preserve">be demonstrated, not assumed, particularly for subnational estimates. A framework such as TARMOS,</w:t>
      </w:r>
      <w:r>
        <w:t xml:space="preserve"> </w:t>
      </w:r>
      <w:r>
        <w:t xml:space="preserve">which asks analysts to state the plausible missingness mechanisms and check the robustness of</w:t>
      </w:r>
      <w:r>
        <w:t xml:space="preserve"> </w:t>
      </w:r>
      <w:r>
        <w:t xml:space="preserve">conclusions, fits this purpose well [23].</w:t>
      </w:r>
    </w:p>
    <w:p>
      <w:pPr>
        <w:pStyle w:val="BodyText"/>
      </w:pPr>
      <w:r>
        <w:t xml:space="preserve">The simulation supports this reading. The mechanism calibrated to the survey’s own missingness</w:t>
      </w:r>
      <w:r>
        <w:t xml:space="preserve"> </w:t>
      </w:r>
      <w:r>
        <w:t xml:space="preserve">produced almost no bias in complete-case estimates (at most 0.09 pp for stunting at 50% missingness),</w:t>
      </w:r>
      <w:r>
        <w:t xml:space="preserve"> </w:t>
      </w:r>
      <w:r>
        <w:t xml:space="preserve">which is why the methods agreed on the observed data. Selective missingness only became consequential</w:t>
      </w:r>
      <w:r>
        <w:t xml:space="preserve"> </w:t>
      </w:r>
      <w:r>
        <w:t xml:space="preserve">when it was tied to the outcome’s own predictors: the strong-MAR mechanism, with the same structure</w:t>
      </w:r>
      <w:r>
        <w:t xml:space="preserve"> </w:t>
      </w:r>
      <w:r>
        <w:t xml:space="preserve">and strength but driven by predicted undernutrition risk, produced complete-case bias of -2.18 pp at</w:t>
      </w:r>
      <w:r>
        <w:t xml:space="preserve"> </w:t>
      </w:r>
      <w:r>
        <w:t xml:space="preserve">30% missingness. The practical implication is that the observed agreement is a property of this</w:t>
      </w:r>
      <w:r>
        <w:t xml:space="preserve"> </w:t>
      </w:r>
      <w:r>
        <w:t xml:space="preserve">survey’s missingness pattern, not a general result.</w:t>
      </w:r>
    </w:p>
    <w:bookmarkEnd w:id="10"/>
    <w:bookmarkStart w:id="11" w:name="flagged-measurements"/>
    <w:p>
      <w:pPr>
        <w:pStyle w:val="Heading3"/>
      </w:pPr>
      <w:r>
        <w:t xml:space="preserve">Flagged measurements</w:t>
      </w:r>
    </w:p>
    <w:p>
      <w:pPr>
        <w:pStyle w:val="FirstParagraph"/>
      </w:pPr>
      <w:r>
        <w:t xml:space="preserve">Flagged z-scores are handled inconsistently in practice. DHS reports exclude them, and cleaning</w:t>
      </w:r>
      <w:r>
        <w:t xml:space="preserve"> </w:t>
      </w:r>
      <w:r>
        <w:t xml:space="preserve">criteria are known to change malnutrition prevalence estimates [24]. We treated them as a distinct form</w:t>
      </w:r>
      <w:r>
        <w:t xml:space="preserve"> </w:t>
      </w:r>
      <w:r>
        <w:t xml:space="preserve">of missingness in the main analysis and excluded them in a sensitivity analysis. With 23 flagged HAZ</w:t>
      </w:r>
      <w:r>
        <w:t xml:space="preserve"> </w:t>
      </w:r>
      <w:r>
        <w:t xml:space="preserve">and 26 flagged WHZ values among 6,682 children, the choice made no material difference here: national</w:t>
      </w:r>
      <w:r>
        <w:t xml:space="preserve"> </w:t>
      </w:r>
      <w:r>
        <w:t xml:space="preserve">estimates changed by about 0.05 percentage points or less. In surveys with poorer anthropometric data</w:t>
      </w:r>
      <w:r>
        <w:t xml:space="preserve"> </w:t>
      </w:r>
      <w:r>
        <w:t xml:space="preserve">quality, where flag rates are higher [25,26], the choice could matter more. Imputing flagged values</w:t>
      </w:r>
      <w:r>
        <w:t xml:space="preserve"> </w:t>
      </w:r>
      <w:r>
        <w:t xml:space="preserve">under MAR assumes that the plausible range of the true measurement can be predicted from covariates.</w:t>
      </w:r>
      <w:r>
        <w:t xml:space="preserve"> </w:t>
      </w:r>
      <w:r>
        <w:t xml:space="preserve">That assumption is questionable if flags arise from extreme true values, and less so if they arise</w:t>
      </w:r>
      <w:r>
        <w:t xml:space="preserve"> </w:t>
      </w:r>
      <w:r>
        <w:t xml:space="preserve">from recording error.</w:t>
      </w:r>
    </w:p>
    <w:bookmarkEnd w:id="11"/>
    <w:bookmarkStart w:id="12" w:name="X43ddb60fa695578a042d41b3fee2a40aa2fd35b"/>
    <w:p>
      <w:pPr>
        <w:pStyle w:val="Heading3"/>
      </w:pPr>
      <w:r>
        <w:t xml:space="preserve">Implications for survey analysis and targeting</w:t>
      </w:r>
    </w:p>
    <w:p>
      <w:pPr>
        <w:pStyle w:val="FirstParagraph"/>
      </w:pPr>
      <w:r>
        <w:t xml:space="preserve">Our results suggest three practical recommendations for analysts using DHS-type surveys to rank</w:t>
      </w:r>
      <w:r>
        <w:t xml:space="preserve"> </w:t>
      </w:r>
      <w:r>
        <w:t xml:space="preserve">subnational units.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Report rank uncertainty.</w:t>
      </w:r>
      <w:r>
        <w:t xml:space="preserve"> </w:t>
      </w:r>
      <w:r>
        <w:t xml:space="preserve">Point rankings of survey domains should be accompanied by probabilities</w:t>
      </w:r>
      <w:r>
        <w:t xml:space="preserve"> </w:t>
      </w:r>
      <w:r>
        <w:t xml:space="preserve">of membership in the targeted set or by rank intervals, as has long been recommended for league</w:t>
      </w:r>
      <w:r>
        <w:t xml:space="preserve"> </w:t>
      </w:r>
      <w:r>
        <w:t xml:space="preserve">tables of institutional performance [27,28]. In this survey, even the region with the highest</w:t>
      </w:r>
      <w:r>
        <w:t xml:space="preserve"> </w:t>
      </w:r>
      <w:r>
        <w:t xml:space="preserve">stunting prevalence had only about a one-in-three probability of truly ranking first.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Check robustness at the subgroup level.</w:t>
      </w:r>
      <w:r>
        <w:t xml:space="preserve"> </w:t>
      </w:r>
      <w:r>
        <w:t xml:space="preserve">Missing-data sensitivity analyses should be reported for</w:t>
      </w:r>
      <w:r>
        <w:t xml:space="preserve"> </w:t>
      </w:r>
      <w:r>
        <w:t xml:space="preserve">the subgroup estimates used for targeting, not only for national prevalence. Regions with the</w:t>
      </w:r>
      <w:r>
        <w:t xml:space="preserve"> </w:t>
      </w:r>
      <w:r>
        <w:t xml:space="preserve">highest missingness are those where methods are most likely to diverge.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Avoid restricting to complete covariates.</w:t>
      </w:r>
      <w:r>
        <w:t xml:space="preserve"> </w:t>
      </w:r>
      <w:r>
        <w:t xml:space="preserve">Restricting to records complete for auxiliary</w:t>
      </w:r>
      <w:r>
        <w:t xml:space="preserve"> </w:t>
      </w:r>
      <w:r>
        <w:t xml:space="preserve">variables changed the worst-affected set in both outcomes. Here it excluded children whose mother</w:t>
      </w:r>
      <w:r>
        <w:t xml:space="preserve"> </w:t>
      </w:r>
      <w:r>
        <w:t xml:space="preserve">lived in the household but could not be linked to an interview, a group with very high outcome</w:t>
      </w:r>
      <w:r>
        <w:t xml:space="preserve"> </w:t>
      </w:r>
      <w:r>
        <w:t xml:space="preserve">missingness, and it changes the population to which estimates apply. Structurally inapplicable</w:t>
      </w:r>
      <w:r>
        <w:t xml:space="preserve"> </w:t>
      </w:r>
      <w:r>
        <w:t xml:space="preserve">values, such as maternal characteristics for children whose mother lives elsewhere, should be coded</w:t>
      </w:r>
      <w:r>
        <w:t xml:space="preserve"> </w:t>
      </w:r>
      <w:r>
        <w:t xml:space="preserve">as such, not treated as missing.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Prefer response weighting, or imputation with well-calibrated variance, when missingness is</w:t>
      </w:r>
      <w:r>
        <w:rPr>
          <w:b/>
          <w:bCs/>
        </w:rPr>
        <w:t xml:space="preserve"> </w:t>
      </w:r>
      <w:r>
        <w:rPr>
          <w:b/>
          <w:bCs/>
        </w:rPr>
        <w:t xml:space="preserve">selective.</w:t>
      </w:r>
      <w:r>
        <w:t xml:space="preserve"> </w:t>
      </w:r>
      <w:r>
        <w:t xml:space="preserve">In the simulation IPW was the only method that stayed unbiased with nominal coverage</w:t>
      </w:r>
      <w:r>
        <w:t xml:space="preserve"> </w:t>
      </w:r>
      <w:r>
        <w:t xml:space="preserve">under strong MAR, while both imputation approaches retained residual bias. MI-RF additionally</w:t>
      </w:r>
      <w:r>
        <w:t xml:space="preserve"> </w:t>
      </w:r>
      <w:r>
        <w:t xml:space="preserve">understated uncertainty: its standard errors were 13-19% too small in the highest-missingness</w:t>
      </w:r>
      <w:r>
        <w:t xml:space="preserve"> </w:t>
      </w:r>
      <w:r>
        <w:t xml:space="preserve">scenarios, and coverage fell to 63% under strong MAR at 50% missingness. Where random-forest</w:t>
      </w:r>
      <w:r>
        <w:t xml:space="preserve"> </w:t>
      </w:r>
      <w:r>
        <w:t xml:space="preserve">imputation is used, the number of trees should be checked: raising it from 10 (the mice default)</w:t>
      </w:r>
      <w:r>
        <w:t xml:space="preserve"> </w:t>
      </w:r>
      <w:r>
        <w:t xml:space="preserve">to 50 restored calibration in our sub-study, though it did not remove the bias.</w:t>
      </w:r>
    </w:p>
    <w:p>
      <w:pPr>
        <w:pStyle w:val="FirstParagraph"/>
      </w:pPr>
      <w:r>
        <w:t xml:space="preserve">Where ranking precision is itself the problem, borrowing strength across areas through small-area</w:t>
      </w:r>
      <w:r>
        <w:t xml:space="preserve"> </w:t>
      </w:r>
      <w:r>
        <w:t xml:space="preserve">estimation methods may be more useful than refining the treatment of a few percent of missing</w:t>
      </w:r>
      <w:r>
        <w:t xml:space="preserve"> </w:t>
      </w:r>
      <w:r>
        <w:t xml:space="preserve">outcomes [29].</w:t>
      </w:r>
    </w:p>
    <w:bookmarkEnd w:id="12"/>
    <w:bookmarkStart w:id="13" w:name="strengths-and-limitations"/>
    <w:p>
      <w:pPr>
        <w:pStyle w:val="Heading3"/>
      </w:pPr>
      <w:r>
        <w:t xml:space="preserve">Strengths and limitations</w:t>
      </w:r>
    </w:p>
    <w:p>
      <w:pPr>
        <w:pStyle w:val="FirstParagraph"/>
      </w:pPr>
      <w:r>
        <w:t xml:space="preserve">The analysis has several strengths: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Validated baseline.</w:t>
      </w:r>
      <w:r>
        <w:t xml:space="preserve"> </w:t>
      </w:r>
      <w:r>
        <w:t xml:space="preserve">Before any method was applied, the complete-case baseline reproduced every</w:t>
      </w:r>
      <w:r>
        <w:t xml:space="preserve"> </w:t>
      </w:r>
      <w:r>
        <w:t xml:space="preserve">cell of the survey’s published nutrition table and its sampling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Design-based inference throughout,</w:t>
      </w:r>
      <w:r>
        <w:t xml:space="preserve"> </w:t>
      </w:r>
      <w:r>
        <w:t xml:space="preserve">including within multiple imputation.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Missingness taxonomy.</w:t>
      </w:r>
      <w:r>
        <w:t xml:space="preserve"> </w:t>
      </w:r>
      <w:r>
        <w:t xml:space="preserve">Structural missingness (children whose mother does not live in the</w:t>
      </w:r>
      <w:r>
        <w:t xml:space="preserve"> </w:t>
      </w:r>
      <w:r>
        <w:t xml:space="preserve">household) was distinguished from genuine missingness, and flagged values from unmeasured children.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Transparent simulation.</w:t>
      </w:r>
      <w:r>
        <w:t xml:space="preserve"> </w:t>
      </w:r>
      <w:r>
        <w:t xml:space="preserve">The simulation followed a pre-specified protocol that recorded one</w:t>
      </w:r>
      <w:r>
        <w:t xml:space="preserve"> </w:t>
      </w:r>
      <w:r>
        <w:t xml:space="preserve">amendment made after the pilot.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The whole pipeline is scripted and openly available; no microdata are</w:t>
      </w:r>
      <w:r>
        <w:t xml:space="preserve"> </w:t>
      </w:r>
      <w:r>
        <w:t xml:space="preserve">redistributed.</w:t>
      </w:r>
    </w:p>
    <w:p>
      <w:pPr>
        <w:pStyle w:val="FirstParagraph"/>
      </w:pPr>
      <w:r>
        <w:t xml:space="preserve">The study also has limitations: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Untestable MAR assumption.</w:t>
      </w:r>
      <w:r>
        <w:t xml:space="preserve"> </w:t>
      </w:r>
      <w:r>
        <w:t xml:space="preserve">IPW and MI assume MAR given the auxiliary variables. The observed</w:t>
      </w:r>
      <w:r>
        <w:t xml:space="preserve"> </w:t>
      </w:r>
      <w:r>
        <w:t xml:space="preserve">data cannot rule out MNAR, for example if children who were absent at measurement were systematically</w:t>
      </w:r>
      <w:r>
        <w:t xml:space="preserve"> </w:t>
      </w:r>
      <w:r>
        <w:t xml:space="preserve">more or less undernourished than similar children who were measured. The observed-data analyses</w:t>
      </w:r>
      <w:r>
        <w:t xml:space="preserve"> </w:t>
      </w:r>
      <w:r>
        <w:t xml:space="preserve">therefore compare methods that share this assumption; they do not establish that any is unbiased.</w:t>
      </w:r>
      <w:r>
        <w:t xml:space="preserve"> </w:t>
      </w:r>
      <w:r>
        <w:t xml:space="preserve">Sensitivity analyses that relax MAR, such as delta-adjusted multiple imputation [30] or selection</w:t>
      </w:r>
      <w:r>
        <w:t xml:space="preserve"> </w:t>
      </w:r>
      <w:r>
        <w:t xml:space="preserve">models [31], would complement this work. The MNAR simulation quantifies what is at stake rather</w:t>
      </w:r>
      <w:r>
        <w:t xml:space="preserve"> </w:t>
      </w:r>
      <w:r>
        <w:t xml:space="preserve">than resolving it: when missingness depended on the z-score itself, every method was biased by a</w:t>
      </w:r>
      <w:r>
        <w:t xml:space="preserve"> </w:t>
      </w:r>
      <w:r>
        <w:t xml:space="preserve">similar amount and no confidence interval covered the truth at 30% missingness or above, with IPW</w:t>
      </w:r>
      <w:r>
        <w:t xml:space="preserve"> </w:t>
      </w:r>
      <w:r>
        <w:t xml:space="preserve">and MI reducing complete-case bias by at most 8%.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Imputation model.</w:t>
      </w:r>
      <w:r>
        <w:t xml:space="preserve"> </w:t>
      </w:r>
      <w:r>
        <w:t xml:space="preserve">The model included stratum-defining variables and the design weight but not</w:t>
      </w:r>
      <w:r>
        <w:t xml:space="preserve"> </w:t>
      </w:r>
      <w:r>
        <w:t xml:space="preserve">cluster-level random effects, which may slightly understate between-cluster variation in imputed</w:t>
      </w:r>
      <w:r>
        <w:t xml:space="preserve"> </w:t>
      </w:r>
      <w:r>
        <w:t xml:space="preserve">values. Weight-for-age was excluded to achieve convergence.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Variance estimation.</w:t>
      </w:r>
      <w:r>
        <w:t xml:space="preserve"> </w:t>
      </w:r>
      <w:r>
        <w:t xml:space="preserve">IPW treated estimated weights as fixed. MI used 20 imputations, and we did not</w:t>
      </w:r>
      <w:r>
        <w:t xml:space="preserve"> </w:t>
      </w:r>
      <w:r>
        <w:t xml:space="preserve">quantify the Monte Carlo error of MI point estimates, so differences of a few hundredths of a</w:t>
      </w:r>
      <w:r>
        <w:t xml:space="preserve"> </w:t>
      </w:r>
      <w:r>
        <w:t xml:space="preserve">percentage point between methods should not be interpreted.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Ranking analysis.</w:t>
      </w:r>
      <w:r>
        <w:t xml:space="preserve"> </w:t>
      </w:r>
      <w:r>
        <w:t xml:space="preserve">The top-five threshold is a convenient illustration, not a policy rule, and</w:t>
      </w:r>
      <w:r>
        <w:t xml:space="preserve"> </w:t>
      </w:r>
      <w:r>
        <w:t xml:space="preserve">simulated rankings of wealth quintiles assumed independence across quintiles.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Survey scope.</w:t>
      </w:r>
      <w:r>
        <w:t xml:space="preserve"> </w:t>
      </w:r>
      <w:r>
        <w:t xml:space="preserve">The survey’s 23 domains predate the division of Vatovavy Fitovinany into two</w:t>
      </w:r>
      <w:r>
        <w:t xml:space="preserve"> </w:t>
      </w:r>
      <w:r>
        <w:t xml:space="preserve">regions. The findings come from a single survey with low missingness and may not transfer to surveys</w:t>
      </w:r>
      <w:r>
        <w:t xml:space="preserve"> </w:t>
      </w:r>
      <w:r>
        <w:t xml:space="preserve">with higher or differently structured missingness. The simulation extends the range of missingness</w:t>
      </w:r>
      <w:r>
        <w:t xml:space="preserve"> </w:t>
      </w:r>
      <w:r>
        <w:t xml:space="preserve">studied to 50%, but within the same pseudo-population and design, and it deletes HAZ and WHZ</w:t>
      </w:r>
      <w:r>
        <w:t xml:space="preserve"> </w:t>
      </w:r>
      <w:r>
        <w:t xml:space="preserve">together; the smaller HAZ-only pattern seen in the survey (1.2% of children) was not simulated.</w:t>
      </w:r>
    </w:p>
    <w:bookmarkEnd w:id="13"/>
    <w:bookmarkStart w:id="14" w:name="conclusions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In the 2021 Madagascar DHS, complete-case analysis, inverse probability weighting and multiple</w:t>
      </w:r>
      <w:r>
        <w:t xml:space="preserve"> </w:t>
      </w:r>
      <w:r>
        <w:t xml:space="preserve">imputation gave practically identical national estimates of stunting and wasting and nearly identical</w:t>
      </w:r>
      <w:r>
        <w:t xml:space="preserve"> </w:t>
      </w:r>
      <w:r>
        <w:t xml:space="preserve">subnational rankings. The worst-affected set changed only under restriction to complete covariates.</w:t>
      </w:r>
      <w:r>
        <w:t xml:space="preserve"> </w:t>
      </w:r>
      <w:r>
        <w:t xml:space="preserve">Sampling uncertainty in subnational rankings was substantially larger than the effect of the</w:t>
      </w:r>
      <w:r>
        <w:t xml:space="preserve"> </w:t>
      </w:r>
      <w:r>
        <w:t xml:space="preserve">missing-data method, and should be reported alongside any ranking used for targeting.</w:t>
      </w:r>
      <w:r>
        <w:t xml:space="preserve"> </w:t>
      </w:r>
      <w:r>
        <w:t xml:space="preserve">In simulation, this equivalence held under missingness completely at random and under the mechanism</w:t>
      </w:r>
      <w:r>
        <w:t xml:space="preserve"> </w:t>
      </w:r>
      <w:r>
        <w:t xml:space="preserve">calibrated to the survey, but not when missingness was strongly tied to covariate-predicted</w:t>
      </w:r>
      <w:r>
        <w:t xml:space="preserve"> </w:t>
      </w:r>
      <w:r>
        <w:t xml:space="preserve">undernutrition risk: there only inverse probability weighting remained unbiased with valid coverage,</w:t>
      </w:r>
      <w:r>
        <w:t xml:space="preserve"> </w:t>
      </w:r>
      <w:r>
        <w:t xml:space="preserve">while complete-case analysis was substantially biased. No method compensated for missingness that</w:t>
      </w:r>
      <w:r>
        <w:t xml:space="preserve"> </w:t>
      </w:r>
      <w:r>
        <w:t xml:space="preserve">depended on the measurement itself.</w:t>
      </w:r>
    </w:p>
    <w:bookmarkEnd w:id="14"/>
    <w:bookmarkEnd w:id="15"/>
    <w:bookmarkStart w:id="16" w:name="references-continuing-from-methods-120"/>
    <w:p>
      <w:pPr>
        <w:pStyle w:val="Heading2"/>
      </w:pPr>
      <w:r>
        <w:t xml:space="preserve">References (continuing from Methods, 1–20)</w:t>
      </w:r>
    </w:p>
    <w:p>
      <w:pPr>
        <w:pStyle w:val="Compact"/>
        <w:numPr>
          <w:ilvl w:val="0"/>
          <w:numId w:val="1005"/>
        </w:numPr>
      </w:pPr>
      <w:r>
        <w:t xml:space="preserve">Hughes RA, Heron J, Sterne JAC, Tilling K. Accounting for missing data in statistical analyses:</w:t>
      </w:r>
      <w:r>
        <w:t xml:space="preserve"> </w:t>
      </w:r>
      <w:r>
        <w:t xml:space="preserve">multiple imputation is not always the answer. Int J Epidemiol. 2019;48(4):1294–304.</w:t>
      </w:r>
    </w:p>
    <w:p>
      <w:pPr>
        <w:pStyle w:val="Compact"/>
        <w:numPr>
          <w:ilvl w:val="0"/>
          <w:numId w:val="1005"/>
        </w:numPr>
      </w:pPr>
      <w:r>
        <w:t xml:space="preserve">Jakobsen JC, Gluud C, Wetterslev J, Winkel P. When and how should multiple imputation be used for</w:t>
      </w:r>
      <w:r>
        <w:t xml:space="preserve"> </w:t>
      </w:r>
      <w:r>
        <w:t xml:space="preserve">handling missing data in randomised clinical trials – a practical guide with flowcharts. BMC Med Res</w:t>
      </w:r>
      <w:r>
        <w:t xml:space="preserve"> </w:t>
      </w:r>
      <w:r>
        <w:t xml:space="preserve">Methodol. 2017;17:162.</w:t>
      </w:r>
    </w:p>
    <w:p>
      <w:pPr>
        <w:pStyle w:val="Compact"/>
        <w:numPr>
          <w:ilvl w:val="0"/>
          <w:numId w:val="1005"/>
        </w:numPr>
      </w:pPr>
      <w:r>
        <w:t xml:space="preserve">Lee KJ, Tilling KM, Cornish RP, Little RJA, Bell ML, Goetghebeur E, et al. Framework for the</w:t>
      </w:r>
      <w:r>
        <w:t xml:space="preserve"> </w:t>
      </w:r>
      <w:r>
        <w:t xml:space="preserve">treatment and reporting of missing data in observational studies: the Treatment And Reporting of</w:t>
      </w:r>
      <w:r>
        <w:t xml:space="preserve"> </w:t>
      </w:r>
      <w:r>
        <w:t xml:space="preserve">Missing data in Observational Studies framework. J Clin Epidemiol. 2021;134:79–88.</w:t>
      </w:r>
    </w:p>
    <w:p>
      <w:pPr>
        <w:pStyle w:val="Compact"/>
        <w:numPr>
          <w:ilvl w:val="0"/>
          <w:numId w:val="1005"/>
        </w:numPr>
      </w:pPr>
      <w:r>
        <w:t xml:space="preserve">Crowe S, Seal A, Grijalva-Eternod C, Kerac M. Effect of nutrition survey</w:t>
      </w:r>
      <w:r>
        <w:t xml:space="preserve"> </w:t>
      </w:r>
      <w:r>
        <w:t xml:space="preserve">‘cleaning criteria’</w:t>
      </w:r>
      <w:r>
        <w:t xml:space="preserve"> </w:t>
      </w:r>
      <w:r>
        <w:t xml:space="preserve">on</w:t>
      </w:r>
      <w:r>
        <w:t xml:space="preserve"> </w:t>
      </w:r>
      <w:r>
        <w:t xml:space="preserve">estimates of malnutrition prevalence and disease burden: secondary data analysis. PeerJ.</w:t>
      </w:r>
      <w:r>
        <w:t xml:space="preserve"> </w:t>
      </w:r>
      <w:r>
        <w:t xml:space="preserve">2014;2:e380.</w:t>
      </w:r>
    </w:p>
    <w:p>
      <w:pPr>
        <w:pStyle w:val="Compact"/>
        <w:numPr>
          <w:ilvl w:val="0"/>
          <w:numId w:val="1005"/>
        </w:numPr>
      </w:pPr>
      <w:r>
        <w:t xml:space="preserve">Assaf S, Kothari MT, Pullum T. An assessment of the quality of DHS anthropometric data, 2005–2014.</w:t>
      </w:r>
      <w:r>
        <w:t xml:space="preserve"> </w:t>
      </w:r>
      <w:r>
        <w:t xml:space="preserve">DHS Methodological Reports No. 16. Rockville, Maryland, USA: ICF International; 2015.</w:t>
      </w:r>
    </w:p>
    <w:p>
      <w:pPr>
        <w:pStyle w:val="Compact"/>
        <w:numPr>
          <w:ilvl w:val="0"/>
          <w:numId w:val="1005"/>
        </w:numPr>
      </w:pPr>
      <w:r>
        <w:t xml:space="preserve">Perumal N, Namaste S, Qamar H, Aimone A, Bassani DG, Roth DE. Anthropometric data quality assessment</w:t>
      </w:r>
      <w:r>
        <w:t xml:space="preserve"> </w:t>
      </w:r>
      <w:r>
        <w:t xml:space="preserve">in multisurvey studies of child growth. Am J Clin Nutr. 2020;112(Suppl 2):806S–815S.</w:t>
      </w:r>
    </w:p>
    <w:p>
      <w:pPr>
        <w:pStyle w:val="Compact"/>
        <w:numPr>
          <w:ilvl w:val="0"/>
          <w:numId w:val="1005"/>
        </w:numPr>
      </w:pPr>
      <w:r>
        <w:t xml:space="preserve">Goldstein H, Spiegelhalter DJ. League tables and their limitations: statistical issues in comparisons</w:t>
      </w:r>
      <w:r>
        <w:t xml:space="preserve"> </w:t>
      </w:r>
      <w:r>
        <w:t xml:space="preserve">of institutional performance. J R Stat Soc Ser A Stat Soc. 1996;159(3):385–443.</w:t>
      </w:r>
    </w:p>
    <w:p>
      <w:pPr>
        <w:pStyle w:val="Compact"/>
        <w:numPr>
          <w:ilvl w:val="0"/>
          <w:numId w:val="1005"/>
        </w:numPr>
      </w:pPr>
      <w:r>
        <w:t xml:space="preserve">Marshall EC, Spiegelhalter DJ. Reliability of league tables of in vitro fertilisation clinics:</w:t>
      </w:r>
      <w:r>
        <w:t xml:space="preserve"> </w:t>
      </w:r>
      <w:r>
        <w:t xml:space="preserve">retrospective analysis of live birth rates. BMJ. 1998;316(7146):1701–5.</w:t>
      </w:r>
    </w:p>
    <w:p>
      <w:pPr>
        <w:pStyle w:val="Compact"/>
        <w:numPr>
          <w:ilvl w:val="0"/>
          <w:numId w:val="1005"/>
        </w:numPr>
      </w:pPr>
      <w:r>
        <w:t xml:space="preserve">Mercer LD, Wakefield J, Pantazis A, Lutambi AM, Masanja H, Clark S. Space–time smoothing of complex</w:t>
      </w:r>
      <w:r>
        <w:t xml:space="preserve"> </w:t>
      </w:r>
      <w:r>
        <w:t xml:space="preserve">survey data: small area estimation for child mortality. Ann Appl Stat. 2015;9(4):1889–905.</w:t>
      </w:r>
    </w:p>
    <w:p>
      <w:pPr>
        <w:pStyle w:val="Compact"/>
        <w:numPr>
          <w:ilvl w:val="0"/>
          <w:numId w:val="1005"/>
        </w:numPr>
      </w:pPr>
      <w:r>
        <w:t xml:space="preserve">Leacy FP, Floyd S, Yates TA, White IR. Analyses of sensitivity to the missing-at-random assumption</w:t>
      </w:r>
      <w:r>
        <w:t xml:space="preserve"> </w:t>
      </w:r>
      <w:r>
        <w:t xml:space="preserve">using multiple imputation with delta adjustment: application to a tuberculosis/HIV prevalence survey</w:t>
      </w:r>
      <w:r>
        <w:t xml:space="preserve"> </w:t>
      </w:r>
      <w:r>
        <w:t xml:space="preserve">with incomplete HIV-status data. Am J Epidemiol. 2017;185(4):304–15.</w:t>
      </w:r>
    </w:p>
    <w:p>
      <w:pPr>
        <w:pStyle w:val="Compact"/>
        <w:numPr>
          <w:ilvl w:val="0"/>
          <w:numId w:val="1005"/>
        </w:numPr>
      </w:pPr>
      <w:r>
        <w:t xml:space="preserve">Bärnighausen T, Bor J, Wandira-Kazibwe S, Canning D. Correcting HIV prevalence estimates for survey</w:t>
      </w:r>
      <w:r>
        <w:t xml:space="preserve"> </w:t>
      </w:r>
      <w:r>
        <w:t xml:space="preserve">nonparticipation using Heckman-type selection models. Epidemiology. 2011;22(1):27–35.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 (draft)</dc:title>
  <dc:creator/>
  <cp:keywords/>
  <dcterms:created xsi:type="dcterms:W3CDTF">2026-09-16T04:28:46Z</dcterms:created>
  <dcterms:modified xsi:type="dcterms:W3CDTF">2026-09-16T04:28:46Z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of 13 September 2026 — for author review</vt:lpwstr>
  </property>
  <property fmtid="{D5CDD505-2E9C-101B-9397-08002B2CF9AE}" pid="3" name="subtitle">
    <vt:lpwstr>Missing-data methods and equity estimates of child undernutrition: Madagascar DHS 2021</vt:lpwstr>
  </property>
</Properties>
</file>