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Results — RQ3 simulation (draft)</w:t>
      </w:r>
    </w:p>
    <w:p>
      <w:pPr>
        <w:pStyle w:val="Subtitle"/>
      </w:pPr>
      <w:r>
        <w:t xml:space="preserve">Missing-data methods and equity estimates of child undernutrition: Madagascar DHS 2021</w:t>
      </w:r>
    </w:p>
    <w:p>
      <w:pPr>
        <w:pStyle w:val="Date"/>
      </w:pPr>
      <w:r>
        <w:t xml:space="preserve">Draft of 16 September 2026 — for author review</w:t>
      </w:r>
    </w:p>
    <w:p>
      <w:pPr>
        <w:pStyle w:val="BlockText"/>
      </w:pPr>
      <w:r>
        <w:rPr>
          <w:b/>
          <w:bCs/>
        </w:rPr>
        <w:t xml:space="preserve">Drafting notes (delete before submission).</w:t>
      </w:r>
      <w:r>
        <w:t xml:space="preserve"> </w:t>
      </w:r>
      <w:r>
        <w:t xml:space="preserve">All numbers were read from</w:t>
      </w:r>
      <w:r>
        <w:t xml:space="preserve"> </w:t>
      </w:r>
      <w:r>
        <w:rPr>
          <w:rStyle w:val="VerbatimChar"/>
        </w:rPr>
        <w:t xml:space="preserve">outputs/tables/rq3_performance_national_full.csv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rq3_performance_subgroups_full.csv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rq3_ranking_recovery_full.csv</w:t>
      </w:r>
      <w:r>
        <w:t xml:space="preserve"> </w:t>
      </w:r>
      <w:r>
        <w:t xml:space="preserve">(full run: 12 scenarios x 500 replicates, plus the 200-replicate</w:t>
      </w:r>
      <w:r>
        <w:t xml:space="preserve"> </w:t>
      </w:r>
      <w:r>
        <w:t xml:space="preserve">ntree sub-study; completed 16 September 2026, no failed replicates). This section follows the</w:t>
      </w:r>
      <w:r>
        <w:t xml:space="preserve"> </w:t>
      </w:r>
      <w:r>
        <w:t xml:space="preserve">RQ1/RQ2 results. Items marked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need an author decision.</w:t>
      </w:r>
    </w:p>
    <w:bookmarkStart w:id="10" w:name="results-continued"/>
    <w:p>
      <w:pPr>
        <w:pStyle w:val="Heading2"/>
      </w:pPr>
      <w:r>
        <w:t xml:space="preserve">Results (continued)</w:t>
      </w:r>
    </w:p>
    <w:bookmarkStart w:id="9" w:name="simulation-study-rq3"/>
    <w:p>
      <w:pPr>
        <w:pStyle w:val="Heading3"/>
      </w:pPr>
      <w:r>
        <w:t xml:space="preserve">Simulation study (RQ3)</w:t>
      </w:r>
    </w:p>
    <w:p>
      <w:pPr>
        <w:pStyle w:val="FirstParagraph"/>
      </w:pPr>
      <w:r>
        <w:t xml:space="preserve">All 6,200 replicates completed without error, and the imposed missingness proportions matched their</w:t>
      </w:r>
      <w:r>
        <w:t xml:space="preserve"> </w:t>
      </w:r>
      <w:r>
        <w:t xml:space="preserve">targets in every scenario (mean achieved 10.0%, 30.0% and 50.0% unweighted). The complete-data</w:t>
      </w:r>
      <w:r>
        <w:t xml:space="preserve"> </w:t>
      </w:r>
      <w:r>
        <w:t xml:space="preserve">benchmark, the estimate from each bootstrap sample before deletion, behaved as intended throughout:</w:t>
      </w:r>
      <w:r>
        <w:t xml:space="preserve"> </w:t>
      </w:r>
      <w:r>
        <w:t xml:space="preserve">absolute bias never exceeded 0.07 percentage points (pp), the ratio of model-based to empirical</w:t>
      </w:r>
      <w:r>
        <w:t xml:space="preserve"> </w:t>
      </w:r>
      <w:r>
        <w:t xml:space="preserve">standard error lay between 0.92 and 1.05, and coverage of nominal 95% intervals ranged from 92.8% to</w:t>
      </w:r>
      <w:r>
        <w:t xml:space="preserve"> </w:t>
      </w:r>
      <w:r>
        <w:t xml:space="preserve">96.2%. Departures from nominal coverage below therefore reflect the missing-data methods, not the</w:t>
      </w:r>
      <w:r>
        <w:t xml:space="preserve"> </w:t>
      </w:r>
      <w:r>
        <w:t xml:space="preserve">resampling design (Table 3, Table S3; Figure 2).</w:t>
      </w:r>
    </w:p>
    <w:p>
      <w:pPr>
        <w:pStyle w:val="BodyText"/>
      </w:pPr>
      <w:r>
        <w:rPr>
          <w:b/>
          <w:bCs/>
        </w:rPr>
        <w:t xml:space="preserve">MCAR and calibrated MAR.</w:t>
      </w:r>
      <w:r>
        <w:t xml:space="preserve"> </w:t>
      </w:r>
      <w:r>
        <w:t xml:space="preserve">When missingness was completely at random, or followed the mechanism</w:t>
      </w:r>
      <w:r>
        <w:t xml:space="preserve"> </w:t>
      </w:r>
      <w:r>
        <w:t xml:space="preserve">calibrated to the survey’s own missingness pattern, every method was essentially unbiased at all</w:t>
      </w:r>
      <w:r>
        <w:t xml:space="preserve"> </w:t>
      </w:r>
      <w:r>
        <w:t xml:space="preserve">three rates. For national stunting, absolute bias was at most 0.14 pp under MCAR and 0.10 pp under</w:t>
      </w:r>
      <w:r>
        <w:t xml:space="preserve"> </w:t>
      </w:r>
      <w:r>
        <w:t xml:space="preserve">MAR (Monte Carlo SE 0.05 pp), and coverage stayed within 92.2–97.0% under MCAR. The exception was</w:t>
      </w:r>
      <w:r>
        <w:t xml:space="preserve"> </w:t>
      </w:r>
      <w:r>
        <w:t xml:space="preserve">MI-RF at 50% MAR missingness, where standard errors were too small (model-to-empirical SE ratio 0.85)</w:t>
      </w:r>
      <w:r>
        <w:t xml:space="preserve"> </w:t>
      </w:r>
      <w:r>
        <w:t xml:space="preserve">and coverage fell to 88.6%. These scenarios reproduce the near-identical estimates seen on the observed</w:t>
      </w:r>
      <w:r>
        <w:t xml:space="preserve"> </w:t>
      </w:r>
      <w:r>
        <w:t xml:space="preserve">data, where about 4% of outcomes were missing.</w:t>
      </w:r>
    </w:p>
    <w:p>
      <w:pPr>
        <w:pStyle w:val="BodyText"/>
      </w:pPr>
      <w:r>
        <w:rPr>
          <w:b/>
          <w:bCs/>
        </w:rPr>
        <w:t xml:space="preserve">Strong MAR.</w:t>
      </w:r>
      <w:r>
        <w:t xml:space="preserve"> </w:t>
      </w:r>
      <w:r>
        <w:t xml:space="preserve">When missingness depended strongly on covariate-predicted undernutrition risk, the</w:t>
      </w:r>
      <w:r>
        <w:t xml:space="preserve"> </w:t>
      </w:r>
      <w:r>
        <w:t xml:space="preserve">methods separated sharply (Figure 2, Table 3). For national stunting: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Missingness</w:t>
            </w:r>
          </w:p>
        </w:tc>
        <w:tc>
          <w:tcPr/>
          <w:p>
            <w:pPr>
              <w:pStyle w:val="Compact"/>
            </w:pPr>
            <w:r>
              <w:t xml:space="preserve">CCA</w:t>
            </w:r>
          </w:p>
        </w:tc>
        <w:tc>
          <w:tcPr/>
          <w:p>
            <w:pPr>
              <w:pStyle w:val="Compact"/>
            </w:pPr>
            <w:r>
              <w:t xml:space="preserve">IPW</w:t>
            </w:r>
          </w:p>
        </w:tc>
        <w:tc>
          <w:tcPr/>
          <w:p>
            <w:pPr>
              <w:pStyle w:val="Compact"/>
            </w:pPr>
            <w:r>
              <w:t xml:space="preserve">MI-PMM</w:t>
            </w:r>
          </w:p>
        </w:tc>
        <w:tc>
          <w:tcPr/>
          <w:p>
            <w:pPr>
              <w:pStyle w:val="Compact"/>
            </w:pPr>
            <w:r>
              <w:t xml:space="preserve">MI-RF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−0.73 pp (86.4%)</w:t>
            </w:r>
          </w:p>
        </w:tc>
        <w:tc>
          <w:tcPr/>
          <w:p>
            <w:pPr>
              <w:pStyle w:val="Compact"/>
            </w:pPr>
            <w:r>
              <w:t xml:space="preserve">0.00 pp (95.6%)</w:t>
            </w:r>
          </w:p>
        </w:tc>
        <w:tc>
          <w:tcPr/>
          <w:p>
            <w:pPr>
              <w:pStyle w:val="Compact"/>
            </w:pPr>
            <w:r>
              <w:t xml:space="preserve">−0.16 pp (95.0%)</w:t>
            </w:r>
          </w:p>
        </w:tc>
        <w:tc>
          <w:tcPr/>
          <w:p>
            <w:pPr>
              <w:pStyle w:val="Compact"/>
            </w:pPr>
            <w:r>
              <w:t xml:space="preserve">−0.24 pp (94.0%)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−2.18 pp (44.2%)</w:t>
            </w:r>
          </w:p>
        </w:tc>
        <w:tc>
          <w:tcPr/>
          <w:p>
            <w:pPr>
              <w:pStyle w:val="Compact"/>
            </w:pPr>
            <w:r>
              <w:t xml:space="preserve">−0.01 pp (96.0%)</w:t>
            </w:r>
          </w:p>
        </w:tc>
        <w:tc>
          <w:tcPr/>
          <w:p>
            <w:pPr>
              <w:pStyle w:val="Compact"/>
            </w:pPr>
            <w:r>
              <w:t xml:space="preserve">−0.52 pp (91.8%)</w:t>
            </w:r>
          </w:p>
        </w:tc>
        <w:tc>
          <w:tcPr/>
          <w:p>
            <w:pPr>
              <w:pStyle w:val="Compact"/>
            </w:pPr>
            <w:r>
              <w:t xml:space="preserve">−0.86 pp (84.2%)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−3.68 pp (11.0%)</w:t>
            </w:r>
          </w:p>
        </w:tc>
        <w:tc>
          <w:tcPr/>
          <w:p>
            <w:pPr>
              <w:pStyle w:val="Compact"/>
            </w:pPr>
            <w:r>
              <w:t xml:space="preserve">−0.04 pp (94.8%)</w:t>
            </w:r>
          </w:p>
        </w:tc>
        <w:tc>
          <w:tcPr/>
          <w:p>
            <w:pPr>
              <w:pStyle w:val="Compact"/>
            </w:pPr>
            <w:r>
              <w:t xml:space="preserve">−0.90 pp (86.4%)</w:t>
            </w:r>
          </w:p>
        </w:tc>
        <w:tc>
          <w:tcPr/>
          <w:p>
            <w:pPr>
              <w:pStyle w:val="Compact"/>
            </w:pPr>
            <w:r>
              <w:t xml:space="preserve">−1.69 pp (63.4%)</w:t>
            </w:r>
          </w:p>
        </w:tc>
      </w:tr>
    </w:tbl>
    <w:p>
      <w:pPr>
        <w:pStyle w:val="BodyText"/>
      </w:pPr>
      <w:r>
        <w:rPr>
          <w:i/>
          <w:iCs/>
        </w:rPr>
        <w:t xml:space="preserve">Bias in percentage points, with coverage of nominal 95% CIs in parentheses.</w:t>
      </w:r>
    </w:p>
    <w:p>
      <w:pPr>
        <w:pStyle w:val="BodyText"/>
      </w:pPr>
      <w:r>
        <w:t xml:space="preserve">IPW removed essentially all of the bias and maintained nominal coverage at every rate, at the cost of</w:t>
      </w:r>
      <w:r>
        <w:t xml:space="preserve"> </w:t>
      </w:r>
      <w:r>
        <w:t xml:space="preserve">a modest increase in variance (empirical SE 1.26 pp versus 1.17 pp for CCA at 50%). Complete-case</w:t>
      </w:r>
      <w:r>
        <w:t xml:space="preserve"> </w:t>
      </w:r>
      <w:r>
        <w:t xml:space="preserve">analysis was substantially biased downwards and its intervals were badly miscalibrated: at 50%</w:t>
      </w:r>
      <w:r>
        <w:t xml:space="preserve"> </w:t>
      </w:r>
      <w:r>
        <w:t xml:space="preserve">missingness its 95% CI covered the true prevalence in 11% of replicates, because its standard errors</w:t>
      </w:r>
      <w:r>
        <w:t xml:space="preserve"> </w:t>
      </w:r>
      <w:r>
        <w:t xml:space="preserve">were correct for the wrong estimand (SE ratio 1.01). Both imputation methods removed most but not all</w:t>
      </w:r>
      <w:r>
        <w:t xml:space="preserve"> </w:t>
      </w:r>
      <w:r>
        <w:t xml:space="preserve">of the bias, MI-PMM more successfully than MI-RF. Root mean squared error at 50% missingness was</w:t>
      </w:r>
      <w:r>
        <w:t xml:space="preserve"> </w:t>
      </w:r>
      <w:r>
        <w:t xml:space="preserve">1.26 pp for IPW, 1.52 pp for MI-PMM, 2.05 pp for MI-RF and 3.87 pp for CCA. The same ordering held</w:t>
      </w:r>
      <w:r>
        <w:t xml:space="preserve"> </w:t>
      </w:r>
      <w:r>
        <w:t xml:space="preserve">for wasting, where CCA bias reached −1.11 pp (coverage 54.2%) at 50% missingness while IPW remained</w:t>
      </w:r>
      <w:r>
        <w:t xml:space="preserve"> </w:t>
      </w:r>
      <w:r>
        <w:t xml:space="preserve">unbiased (−0.04 pp, coverage 95.2%).</w:t>
      </w:r>
    </w:p>
    <w:p>
      <w:pPr>
        <w:pStyle w:val="BodyText"/>
      </w:pPr>
      <w:r>
        <w:rPr>
          <w:b/>
          <w:bCs/>
        </w:rPr>
        <w:t xml:space="preserve">MNAR.</w:t>
      </w:r>
      <w:r>
        <w:t xml:space="preserve"> </w:t>
      </w:r>
      <w:r>
        <w:t xml:space="preserve">When missingness depended on the child’s own z-score given covariates, no method recovered</w:t>
      </w:r>
      <w:r>
        <w:t xml:space="preserve"> </w:t>
      </w:r>
      <w:r>
        <w:t xml:space="preserve">the truth, as expected: all four rely on the missing-at-random assumption. For national stunting,</w:t>
      </w:r>
      <w:r>
        <w:t xml:space="preserve"> </w:t>
      </w:r>
      <w:r>
        <w:t xml:space="preserve">bias at 10%, 30% and 50% missingness was −2.31, −6.25 and −10.30 pp for CCA and −1.99, −5.69 and</w:t>
      </w:r>
      <w:r>
        <w:t xml:space="preserve"> </w:t>
      </w:r>
      <w:r>
        <w:t xml:space="preserve">−9.61 pp for MI-RF, with the other methods in between; coverage was 33.6–45.2% at 10% missingness and</w:t>
      </w:r>
      <w:r>
        <w:t xml:space="preserve"> </w:t>
      </w:r>
      <w:r>
        <w:t xml:space="preserve">0% at both higher rates. Differences between methods were small relative to the bias they all shared:</w:t>
      </w:r>
      <w:r>
        <w:t xml:space="preserve"> </w:t>
      </w:r>
      <w:r>
        <w:t xml:space="preserve">IPW and MI reduced CCA’s bias by at most 8%. The corresponding figures for wasting were −1.19 to</w:t>
      </w:r>
      <w:r>
        <w:t xml:space="preserve"> </w:t>
      </w:r>
      <w:r>
        <w:t xml:space="preserve">−3.52 pp for CCA, with coverage of 25.4% at 10% missingness and 0% thereafter.</w:t>
      </w:r>
    </w:p>
    <w:p>
      <w:pPr>
        <w:pStyle w:val="BodyText"/>
      </w:pPr>
      <w:r>
        <w:rPr>
          <w:b/>
          <w:bCs/>
        </w:rPr>
        <w:t xml:space="preserve">Variance estimation under multiple imputation.</w:t>
      </w:r>
      <w:r>
        <w:t xml:space="preserve"> </w:t>
      </w:r>
      <w:r>
        <w:t xml:space="preserve">MI-RF understated uncertainty whenever the fraction</w:t>
      </w:r>
      <w:r>
        <w:t xml:space="preserve"> </w:t>
      </w:r>
      <w:r>
        <w:t xml:space="preserve">of missing information was substantial: its SE ratio fell to 0.81–0.87 in the 50% scenarios, against</w:t>
      </w:r>
      <w:r>
        <w:t xml:space="preserve"> </w:t>
      </w:r>
      <w:r>
        <w:t xml:space="preserve">0.87–0.94 for MI-PMM and 0.93–1.03 for IPW. In the sub-study (MAR, 30% missingness, 200 replicates),</w:t>
      </w:r>
      <w:r>
        <w:t xml:space="preserve"> </w:t>
      </w:r>
      <w:r>
        <w:t xml:space="preserve">increasing the number of trees from 10 to 50 left bias unchanged (−0.10 pp versus −0.09 pp for</w:t>
      </w:r>
      <w:r>
        <w:t xml:space="preserve"> </w:t>
      </w:r>
      <w:r>
        <w:t xml:space="preserve">stunting) but improved calibration: the SE ratio rose from 0.93 to 0.99 and coverage from 93.4% to</w:t>
      </w:r>
      <w:r>
        <w:t xml:space="preserve"> </w:t>
      </w:r>
      <w:r>
        <w:t xml:space="preserve">96.5% (Table S5). The shortfall in MI-RF’s variance therefore reflects too few trees rather than the</w:t>
      </w:r>
      <w:r>
        <w:t xml:space="preserve"> </w:t>
      </w:r>
      <w:r>
        <w:t xml:space="preserve">random-forest imputer as such, but the bias it leaves under strong MAR does not.</w:t>
      </w:r>
    </w:p>
    <w:p>
      <w:pPr>
        <w:pStyle w:val="BodyText"/>
      </w:pPr>
      <w:r>
        <w:rPr>
          <w:b/>
          <w:bCs/>
        </w:rPr>
        <w:t xml:space="preserve">Subgroup estimates.</w:t>
      </w:r>
      <w:r>
        <w:t xml:space="preserve"> </w:t>
      </w:r>
      <w:r>
        <w:t xml:space="preserve">Regional estimates showed the same ordering with larger errors (Table S3).</w:t>
      </w:r>
      <w:r>
        <w:t xml:space="preserve"> </w:t>
      </w:r>
      <w:r>
        <w:t xml:space="preserve">At 50% missingness under strong MAR, mean absolute bias across the 23 regions was 0.19 pp for IPW,</w:t>
      </w:r>
      <w:r>
        <w:t xml:space="preserve"> </w:t>
      </w:r>
      <w:r>
        <w:t xml:space="preserve">1.58 pp for MI-PMM, 2.37 pp for MI-RF and 2.76 pp for CCA, and mean coverage was 93.6%, 93.6%, 90.8%</w:t>
      </w:r>
      <w:r>
        <w:t xml:space="preserve"> </w:t>
      </w:r>
      <w:r>
        <w:t xml:space="preserve">and 89.7% respectively. Under MCAR and calibrated MAR, where CCA is unbiased, imputation was noticeably</w:t>
      </w:r>
      <w:r>
        <w:t xml:space="preserve"> </w:t>
      </w:r>
      <w:r>
        <w:t xml:space="preserve">noisier at regional level: mean absolute bias was 0.19 pp for CCA against 1.14 pp for MI-PMM and</w:t>
      </w:r>
      <w:r>
        <w:t xml:space="preserve"> </w:t>
      </w:r>
      <w:r>
        <w:t xml:space="preserve">1.95 pp for MI-RF under MCAR at 50% missingness, although coverage remained near nominal for all</w:t>
      </w:r>
      <w:r>
        <w:t xml:space="preserve"> </w:t>
      </w:r>
      <w:r>
        <w:t xml:space="preserve">methods. Imputation therefore bought robustness to selective missingness at the price of precision in</w:t>
      </w:r>
      <w:r>
        <w:t xml:space="preserve"> </w:t>
      </w:r>
      <w:r>
        <w:t xml:space="preserve">small domains.</w:t>
      </w:r>
    </w:p>
    <w:p>
      <w:pPr>
        <w:pStyle w:val="BodyText"/>
      </w:pPr>
      <w:r>
        <w:rPr>
          <w:b/>
          <w:bCs/>
        </w:rPr>
        <w:t xml:space="preserve">Recovery of the equity ranking.</w:t>
      </w:r>
      <w:r>
        <w:t xml:space="preserve"> </w:t>
      </w:r>
      <w:r>
        <w:t xml:space="preserve">Recovering the true ordering of the 23 regions was difficult even</w:t>
      </w:r>
      <w:r>
        <w:t xml:space="preserve"> </w:t>
      </w:r>
      <w:r>
        <w:t xml:space="preserve">with complete data: the mean Spearman correlation between estimated and true regional rankings was</w:t>
      </w:r>
      <w:r>
        <w:t xml:space="preserve"> </w:t>
      </w:r>
      <w:r>
        <w:t xml:space="preserve">0.92, the mean overlap of the estimated and true five worst-affected regions was 0.69 (3.5 of 5</w:t>
      </w:r>
      <w:r>
        <w:t xml:space="preserve"> </w:t>
      </w:r>
      <w:r>
        <w:t xml:space="preserve">regions), the true top-five set was recovered exactly in 5–8% of replicates, and the truly</w:t>
      </w:r>
      <w:r>
        <w:t xml:space="preserve"> </w:t>
      </w:r>
      <w:r>
        <w:t xml:space="preserve">worst-affected region was identified in 28–37%. Missingness and the choice of method changed this</w:t>
      </w:r>
      <w:r>
        <w:t xml:space="preserve"> </w:t>
      </w:r>
      <w:r>
        <w:t xml:space="preserve">little: at 30% missingness the mean correlation was 0.90–0.92 in every mechanism and method, and even</w:t>
      </w:r>
      <w:r>
        <w:t xml:space="preserve"> </w:t>
      </w:r>
      <w:r>
        <w:t xml:space="preserve">at 50% MNAR missingness it fell only to 0.84–0.87. The dominant obstacle to correct targeting was</w:t>
      </w:r>
      <w:r>
        <w:t xml:space="preserve"> </w:t>
      </w:r>
      <w:r>
        <w:t xml:space="preserve">therefore sampling variability in a survey designed for 23 domains, not the treatment of missing data</w:t>
      </w:r>
      <w:r>
        <w:t xml:space="preserve"> </w:t>
      </w:r>
      <w:r>
        <w:t xml:space="preserve">(Table S4).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— RQ3 simulation (draft)</dc:title>
  <dc:creator/>
  <cp:keywords/>
  <dcterms:created xsi:type="dcterms:W3CDTF">2026-09-16T04:26:25Z</dcterms:created>
  <dcterms:modified xsi:type="dcterms:W3CDTF">2026-09-16T04:26:25Z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16 September 2026 — for author review</vt:lpwstr>
  </property>
  <property fmtid="{D5CDD505-2E9C-101B-9397-08002B2CF9AE}" pid="3" name="subtitle">
    <vt:lpwstr>Missing-data methods and equity estimates of child undernutrition: Madagascar DHS 2021</vt:lpwstr>
  </property>
</Properties>
</file>