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Abstract and Background (draft)</w:t>
      </w:r>
    </w:p>
    <w:p>
      <w:pPr>
        <w:pStyle w:val="Subtitle"/>
      </w:pPr>
      <w:r>
        <w:t xml:space="preserve">Missing-data methods and equity estimates of child undernutrition: Madagascar DHS 2021</w:t>
      </w:r>
    </w:p>
    <w:p>
      <w:pPr>
        <w:pStyle w:val="Date"/>
      </w:pPr>
      <w:r>
        <w:t xml:space="preserve">Draft of 16 September 2026 — for author review</w:t>
      </w:r>
    </w:p>
    <w:p>
      <w:pPr>
        <w:pStyle w:val="BlockText"/>
      </w:pPr>
      <w:r>
        <w:rPr>
          <w:b/>
          <w:bCs/>
        </w:rPr>
        <w:t xml:space="preserve">Drafting notes (delete before submission).</w:t>
      </w:r>
      <w:r>
        <w:t xml:space="preserve"> </w:t>
      </w:r>
      <w:r>
        <w:t xml:space="preserve">Project numbers come from pipeline outputs</w:t>
      </w:r>
      <w:r>
        <w:t xml:space="preserve"> </w:t>
      </w:r>
      <w:r>
        <w:t xml:space="preserve">(</w:t>
      </w:r>
      <w:r>
        <w:rPr>
          <w:rStyle w:val="VerbatimChar"/>
        </w:rPr>
        <w:t xml:space="preserve">rq1_*</w:t>
      </w:r>
      <w:r>
        <w:t xml:space="preserve">,</w:t>
      </w:r>
      <w:r>
        <w:t xml:space="preserve"> </w:t>
      </w:r>
      <w:r>
        <w:rPr>
          <w:rStyle w:val="VerbatimChar"/>
        </w:rPr>
        <w:t xml:space="preserve">rq2_*</w:t>
      </w:r>
      <w:r>
        <w:t xml:space="preserve">,</w:t>
      </w:r>
      <w:r>
        <w:t xml:space="preserve"> </w:t>
      </w:r>
      <w:r>
        <w:rPr>
          <w:rStyle w:val="VerbatimChar"/>
        </w:rPr>
        <w:t xml:space="preserve">rq3_*</w:t>
      </w:r>
      <w:r>
        <w:t xml:space="preserve">). References 32–37 are new here; earlier numbers refer to the Methods and</w:t>
      </w:r>
      <w:r>
        <w:t xml:space="preserve"> </w:t>
      </w:r>
      <w:r>
        <w:t xml:space="preserve">Discussion drafts, and the whole manuscript must be renumbered in order of first citation when</w:t>
      </w:r>
      <w:r>
        <w:t xml:space="preserve"> </w:t>
      </w:r>
      <w:r>
        <w:t xml:space="preserve">assembled.</w:t>
      </w:r>
      <w:r>
        <w:t xml:space="preserve"> </w:t>
      </w:r>
      <w:r>
        <w:rPr>
          <w:b/>
          <w:bCs/>
        </w:rPr>
        <w:t xml:space="preserve">Verify every reference before submission.</w:t>
      </w:r>
      <w:r>
        <w:t xml:space="preserve"> </w:t>
      </w:r>
      <w:r>
        <w:t xml:space="preserve">Items marked</w:t>
      </w:r>
      <w:r>
        <w:t xml:space="preserve"> </w:t>
      </w:r>
      <w:r>
        <w:rPr>
          <w:b/>
          <w:bCs/>
        </w:rPr>
        <w:t xml:space="preserve">[CONFIRM]</w:t>
      </w:r>
      <w:r>
        <w:t xml:space="preserve"> </w:t>
      </w:r>
      <w:r>
        <w:t xml:space="preserve">need an author</w:t>
      </w:r>
      <w:r>
        <w:t xml:space="preserve"> </w:t>
      </w:r>
      <w:r>
        <w:t xml:space="preserve">decision. The abstract is about 340 words.</w:t>
      </w:r>
      <w:r>
        <w:t xml:space="preserve"> </w:t>
      </w:r>
      <w:r>
        <w:rPr>
          <w:b/>
          <w:bCs/>
        </w:rPr>
        <w:t xml:space="preserve">[CONFIRM the journal’s abstract limit.]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Household surveys such as the Demographic and Health Surveys (DHS) are the main source</w:t>
      </w:r>
      <w:r>
        <w:t xml:space="preserve"> </w:t>
      </w:r>
      <w:r>
        <w:t xml:space="preserve">of subnational estimates of child undernutrition, and are used to decide which regions and which</w:t>
      </w:r>
      <w:r>
        <w:t xml:space="preserve"> </w:t>
      </w:r>
      <w:r>
        <w:t xml:space="preserve">socioeconomic groups are targeted first. Anthropometric measurements are incomplete in every survey,</w:t>
      </w:r>
      <w:r>
        <w:t xml:space="preserve"> </w:t>
      </w:r>
      <w:r>
        <w:t xml:space="preserve">yet the analytical treatment of those missing values is rarely examined, and its effect on the</w:t>
      </w:r>
      <w:r>
        <w:t xml:space="preserve"> </w:t>
      </w:r>
      <w:r>
        <w:t xml:space="preserve">resulting equity ordering is essentially unknown.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analysed the 2021 Madagascar DHS (6,682 de facto children aged 0–59 months),</w:t>
      </w:r>
      <w:r>
        <w:t xml:space="preserve"> </w:t>
      </w:r>
      <w:r>
        <w:t xml:space="preserve">comparing four approaches to missing anthropometry under the survey design: complete-case analysis,</w:t>
      </w:r>
      <w:r>
        <w:t xml:space="preserve"> </w:t>
      </w:r>
      <w:r>
        <w:t xml:space="preserve">inverse probability weighting (IPW), multiple imputation by predictive mean matching (MI-PMM) and</w:t>
      </w:r>
      <w:r>
        <w:t xml:space="preserve"> </w:t>
      </w:r>
      <w:r>
        <w:t xml:space="preserve">random-forest multiple imputation (MI-RF). We estimated stunting and wasting prevalence nationally and</w:t>
      </w:r>
      <w:r>
        <w:t xml:space="preserve"> </w:t>
      </w:r>
      <w:r>
        <w:t xml:space="preserve">for 23 regions and 5 wealth quintiles, measured cross-method agreement in subgroup rankings against a</w:t>
      </w:r>
      <w:r>
        <w:t xml:space="preserve"> </w:t>
      </w:r>
      <w:r>
        <w:t xml:space="preserve">benchmark of sampling variability, and ran a simulation (12 scenarios, 500 replicates each) combining</w:t>
      </w:r>
      <w:r>
        <w:t xml:space="preserve"> </w:t>
      </w:r>
      <w:r>
        <w:t xml:space="preserve">a survey bootstrap with imposed MCAR, MAR, strong-MAR and MNAR missingness at 10–50%.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A valid height-for-age z-score was unavailable for 4.2% of children and a</w:t>
      </w:r>
      <w:r>
        <w:t xml:space="preserve"> </w:t>
      </w:r>
      <w:r>
        <w:t xml:space="preserve">weight-for-height z-score for 3.1%. Missingness was strongly patterned (44.6% where the mother’s</w:t>
      </w:r>
      <w:r>
        <w:t xml:space="preserve"> </w:t>
      </w:r>
      <w:r>
        <w:t xml:space="preserve">interview was incomplete versus 2.4% where she was interviewed), yet national estimates differed</w:t>
      </w:r>
      <w:r>
        <w:t xml:space="preserve"> </w:t>
      </w:r>
      <w:r>
        <w:t xml:space="preserve">across methods by at most 0.12 percentage points (complete-case stunting 39.8%, 95% CI 38.0–41.7;</w:t>
      </w:r>
      <w:r>
        <w:t xml:space="preserve"> </w:t>
      </w:r>
      <w:r>
        <w:t xml:space="preserve">wasting 7.7%, 6.9–8.6). Regional rankings agreed closely across methods (Spearman ρ ≥ 0.987), far more</w:t>
      </w:r>
      <w:r>
        <w:t xml:space="preserve"> </w:t>
      </w:r>
      <w:r>
        <w:t xml:space="preserve">closely than rankings redrawn from sampling uncertainty alone (median ρ 0.88–0.93). In simulation, all</w:t>
      </w:r>
      <w:r>
        <w:t xml:space="preserve"> </w:t>
      </w:r>
      <w:r>
        <w:t xml:space="preserve">methods were unbiased under MCAR and under missingness calibrated to the survey itself; under strong</w:t>
      </w:r>
      <w:r>
        <w:t xml:space="preserve"> </w:t>
      </w:r>
      <w:r>
        <w:t xml:space="preserve">MAR at 50% missingness complete-case analysis was biased by −3.7 percentage points with 11% CI</w:t>
      </w:r>
      <w:r>
        <w:t xml:space="preserve"> </w:t>
      </w:r>
      <w:r>
        <w:t xml:space="preserve">coverage, while IPW remained unbiased with 95% coverage; under MNAR no method recovered the truth.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Here the choice of missing-data method was immaterial, and sampling uncertainty, not</w:t>
      </w:r>
      <w:r>
        <w:t xml:space="preserve"> </w:t>
      </w:r>
      <w:r>
        <w:t xml:space="preserve">missing data, limited equity targeting. That equivalence reflects low, weakly outcome-related</w:t>
      </w:r>
      <w:r>
        <w:t xml:space="preserve"> </w:t>
      </w:r>
      <w:r>
        <w:t xml:space="preserve">missingness rather than a general result: when missingness tracked undernutrition risk, only response</w:t>
      </w:r>
      <w:r>
        <w:t xml:space="preserve"> </w:t>
      </w:r>
      <w:r>
        <w:t xml:space="preserve">weighting remained valid.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missing data; multiple imputation; inverse probability weighting; complex surveys; child</w:t>
      </w:r>
      <w:r>
        <w:t xml:space="preserve"> </w:t>
      </w:r>
      <w:r>
        <w:t xml:space="preserve">stunting; health equity; Demographic and Health Surveys; Madagascar</w:t>
      </w:r>
    </w:p>
    <w:bookmarkEnd w:id="9"/>
    <w:bookmarkStart w:id="1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Child undernutrition remains one of the largest contributors to child mortality and to lifelong</w:t>
      </w:r>
      <w:r>
        <w:t xml:space="preserve"> </w:t>
      </w:r>
      <w:r>
        <w:t xml:space="preserve">deficits in health, schooling and earnings [32,33]. Stunting, or low height-for-age, affects about one</w:t>
      </w:r>
      <w:r>
        <w:t xml:space="preserve"> </w:t>
      </w:r>
      <w:r>
        <w:t xml:space="preserve">in five children under 5 worldwide, and progress is uneven both between and within countries [34,35].</w:t>
      </w:r>
      <w:r>
        <w:t xml:space="preserve"> </w:t>
      </w:r>
      <w:r>
        <w:t xml:space="preserve">Reducing it is a global commitment under the World Health Assembly targets and the Sustainable</w:t>
      </w:r>
      <w:r>
        <w:t xml:space="preserve"> </w:t>
      </w:r>
      <w:r>
        <w:t xml:space="preserve">Development Goals [36]. In Madagascar, 40% of children under 5 are stunted, among the highest</w:t>
      </w:r>
      <w:r>
        <w:t xml:space="preserve"> </w:t>
      </w:r>
      <w:r>
        <w:t xml:space="preserve">prevalences in the world</w:t>
      </w:r>
      <w:r>
        <w:t xml:space="preserve"> </w:t>
      </w:r>
      <w:r>
        <w:rPr>
          <w:b/>
          <w:bCs/>
        </w:rPr>
        <w:t xml:space="preserve">[CONFIRM ranking against the 2023 joint malnutrition estimates]</w:t>
      </w:r>
      <w:r>
        <w:t xml:space="preserve">, and</w:t>
      </w:r>
      <w:r>
        <w:t xml:space="preserve"> </w:t>
      </w:r>
      <w:r>
        <w:t xml:space="preserve">regional prevalence ranges from about 22% to 52% [1].</w:t>
      </w:r>
    </w:p>
    <w:p>
      <w:pPr>
        <w:pStyle w:val="BodyText"/>
      </w:pPr>
      <w:r>
        <w:t xml:space="preserve">Because national averages hide this heterogeneity, nutrition programmes are increasingly targeted</w:t>
      </w:r>
      <w:r>
        <w:t xml:space="preserve"> </w:t>
      </w:r>
      <w:r>
        <w:t xml:space="preserve">subnationally, and the evidence for those decisions comes almost entirely from household surveys,</w:t>
      </w:r>
      <w:r>
        <w:t xml:space="preserve"> </w:t>
      </w:r>
      <w:r>
        <w:t xml:space="preserve">above all the DHS [37]. These surveys measure the height and weight of children in sampled households</w:t>
      </w:r>
      <w:r>
        <w:t xml:space="preserve"> </w:t>
      </w:r>
      <w:r>
        <w:t xml:space="preserve">and publish prevalence by region and wealth quintile; the resulting tables are used to rank areas and</w:t>
      </w:r>
      <w:r>
        <w:t xml:space="preserve"> </w:t>
      </w:r>
      <w:r>
        <w:t xml:space="preserve">prioritise resources. Two features of such estimates deserve more scrutiny than they usually receive.</w:t>
      </w:r>
      <w:r>
        <w:t xml:space="preserve"> </w:t>
      </w:r>
      <w:r>
        <w:t xml:space="preserve">First, they carry sampling uncertainty that is substantial in small domains, so the ordering of regions</w:t>
      </w:r>
      <w:r>
        <w:t xml:space="preserve"> </w:t>
      </w:r>
      <w:r>
        <w:t xml:space="preserve">is itself uncertain. Second, anthropometric data are never complete: children are absent, carers</w:t>
      </w:r>
      <w:r>
        <w:t xml:space="preserve"> </w:t>
      </w:r>
      <w:r>
        <w:t xml:space="preserve">refuse, and some measurements are implausible and flagged. Reviews of DHS anthropometry show that</w:t>
      </w:r>
      <w:r>
        <w:t xml:space="preserve"> </w:t>
      </w:r>
      <w:r>
        <w:t xml:space="preserve">incompleteness and flagging vary appreciably between surveys [25,26], and cleaning rules alone can</w:t>
      </w:r>
      <w:r>
        <w:t xml:space="preserve"> </w:t>
      </w:r>
      <w:r>
        <w:t xml:space="preserve">shift estimated malnutrition prevalence [24].</w:t>
      </w:r>
    </w:p>
    <w:p>
      <w:pPr>
        <w:pStyle w:val="BodyText"/>
      </w:pPr>
      <w:r>
        <w:t xml:space="preserve">How missing anthropometry is handled is therefore a methodological choice with potential consequences</w:t>
      </w:r>
      <w:r>
        <w:t xml:space="preserve"> </w:t>
      </w:r>
      <w:r>
        <w:t xml:space="preserve">for who is identified as worst affected. In practice the choice is usually implicit: survey reports</w:t>
      </w:r>
      <w:r>
        <w:t xml:space="preserve"> </w:t>
      </w:r>
      <w:r>
        <w:t xml:space="preserve">present complete-case estimates restricted to children with valid measurements, which are unbiased</w:t>
      </w:r>
      <w:r>
        <w:t xml:space="preserve"> </w:t>
      </w:r>
      <w:r>
        <w:t xml:space="preserve">only if missingness is unrelated to nutritional status given the design and the covariates used [6].</w:t>
      </w:r>
      <w:r>
        <w:t xml:space="preserve"> </w:t>
      </w:r>
      <w:r>
        <w:t xml:space="preserve">Alternatives are well established in the statistical literature — inverse probability weighting for</w:t>
      </w:r>
      <w:r>
        <w:t xml:space="preserve"> </w:t>
      </w:r>
      <w:r>
        <w:t xml:space="preserve">nonresponse [7] and multiple imputation, including machine-learning variants [8,12,13] — and guidance</w:t>
      </w:r>
      <w:r>
        <w:t xml:space="preserve"> </w:t>
      </w:r>
      <w:r>
        <w:t xml:space="preserve">exists on reporting them [23]. What is missing is evidence on what difference they make in this</w:t>
      </w:r>
      <w:r>
        <w:t xml:space="preserve"> </w:t>
      </w:r>
      <w:r>
        <w:t xml:space="preserve">setting: for prevalence under a complex survey design, for the subnational ranking that drives</w:t>
      </w:r>
      <w:r>
        <w:t xml:space="preserve"> </w:t>
      </w:r>
      <w:r>
        <w:t xml:space="preserve">targeting, and under missingness mechanisms realistic for anthropometry.</w:t>
      </w:r>
    </w:p>
    <w:p>
      <w:pPr>
        <w:pStyle w:val="BodyText"/>
      </w:pPr>
      <w:r>
        <w:t xml:space="preserve">Related work has approached parts of this problem separately. Methodological studies of survey</w:t>
      </w:r>
      <w:r>
        <w:t xml:space="preserve"> </w:t>
      </w:r>
      <w:r>
        <w:t xml:space="preserve">nonparticipation have concentrated on HIV prevalence, where selection models have been used to correct</w:t>
      </w:r>
      <w:r>
        <w:t xml:space="preserve"> </w:t>
      </w:r>
      <w:r>
        <w:t xml:space="preserve">estimates for people who decline testing [31], and the statistical literature on ranking has long</w:t>
      </w:r>
      <w:r>
        <w:t xml:space="preserve"> </w:t>
      </w:r>
      <w:r>
        <w:t xml:space="preserve">warned that league tables of institutions or areas are far less reliable than their point estimates</w:t>
      </w:r>
      <w:r>
        <w:t xml:space="preserve"> </w:t>
      </w:r>
      <w:r>
        <w:t xml:space="preserve">suggest [27,28]. Studies of DHS anthropometry, in turn, have focused on data quality: how often</w:t>
      </w:r>
      <w:r>
        <w:t xml:space="preserve"> </w:t>
      </w:r>
      <w:r>
        <w:t xml:space="preserve">measurements are missing, flagged or heaped, and how cleaning rules change prevalence [24,25,26]. What</w:t>
      </w:r>
      <w:r>
        <w:t xml:space="preserve"> </w:t>
      </w:r>
      <w:r>
        <w:t xml:space="preserve">has not been examined, to our knowledge, is the combination that matters for programme targeting:</w:t>
      </w:r>
      <w:r>
        <w:t xml:space="preserve"> </w:t>
      </w:r>
      <w:r>
        <w:t xml:space="preserve">whether the analytical treatment of missing anthropometry changes which subnational groups a survey</w:t>
      </w:r>
      <w:r>
        <w:t xml:space="preserve"> </w:t>
      </w:r>
      <w:r>
        <w:t xml:space="preserve">identifies as worst affected, and how any such change compares with the ranking uncertainty already</w:t>
      </w:r>
      <w:r>
        <w:t xml:space="preserve"> </w:t>
      </w:r>
      <w:r>
        <w:t xml:space="preserve">present from sampling.</w:t>
      </w:r>
    </w:p>
    <w:p>
      <w:pPr>
        <w:pStyle w:val="BodyText"/>
      </w:pPr>
      <w:r>
        <w:t xml:space="preserve">This study addresses that gap using the 2021 Madagascar DHS. We ask three questions. First, how much</w:t>
      </w:r>
      <w:r>
        <w:t xml:space="preserve"> </w:t>
      </w:r>
      <w:r>
        <w:t xml:space="preserve">do survey-weighted stunting and wasting prevalence differ between complete-case analysis, IPW and two</w:t>
      </w:r>
      <w:r>
        <w:t xml:space="preserve"> </w:t>
      </w:r>
      <w:r>
        <w:t xml:space="preserve">forms of multiple imputation, nationally and by region and wealth quintile? Second, does the choice of</w:t>
      </w:r>
      <w:r>
        <w:t xml:space="preserve"> </w:t>
      </w:r>
      <w:r>
        <w:t xml:space="preserve">method change the equity ordering — which regions and quintiles are identified as worst affected — and</w:t>
      </w:r>
      <w:r>
        <w:t xml:space="preserve"> </w:t>
      </w:r>
      <w:r>
        <w:t xml:space="preserve">how does any such change compare with the uncertainty that sampling error alone places on those</w:t>
      </w:r>
      <w:r>
        <w:t xml:space="preserve"> </w:t>
      </w:r>
      <w:r>
        <w:t xml:space="preserve">rankings? Third, in a simulation in which the truth is known and the mechanism is controlled, what are</w:t>
      </w:r>
      <w:r>
        <w:t xml:space="preserve"> </w:t>
      </w:r>
      <w:r>
        <w:t xml:space="preserve">the bias, precision and confidence-interval coverage of each method under MCAR, MAR and MNAR</w:t>
      </w:r>
      <w:r>
        <w:t xml:space="preserve"> </w:t>
      </w:r>
      <w:r>
        <w:t xml:space="preserve">missingness at rates from 10% to 50%? Throughout, we keep estimation inside the survey design,</w:t>
      </w:r>
      <w:r>
        <w:t xml:space="preserve"> </w:t>
      </w:r>
      <w:r>
        <w:t xml:space="preserve">distinguish structurally inapplicable values from genuinely missing ones, and validate the pipeline by</w:t>
      </w:r>
      <w:r>
        <w:t xml:space="preserve"> </w:t>
      </w:r>
      <w:r>
        <w:t xml:space="preserve">reproducing the published survey estimates before any method is compared.</w:t>
      </w:r>
    </w:p>
    <w:bookmarkEnd w:id="10"/>
    <w:bookmarkStart w:id="11" w:name="references-new-in-this-section"/>
    <w:p>
      <w:pPr>
        <w:pStyle w:val="Heading2"/>
      </w:pPr>
      <w:r>
        <w:t xml:space="preserve">References (new in this section)</w:t>
      </w:r>
    </w:p>
    <w:p>
      <w:pPr>
        <w:pStyle w:val="Compact"/>
        <w:numPr>
          <w:ilvl w:val="0"/>
          <w:numId w:val="1001"/>
        </w:numPr>
      </w:pPr>
      <w:r>
        <w:t xml:space="preserve">Black RE, Victora CG, Walker SP, Bhutta ZA, Christian P, de Onis M, et al. Maternal and child</w:t>
      </w:r>
      <w:r>
        <w:t xml:space="preserve"> </w:t>
      </w:r>
      <w:r>
        <w:t xml:space="preserve">undernutrition and overweight in low-income and middle-income countries. Lancet.</w:t>
      </w:r>
      <w:r>
        <w:t xml:space="preserve"> </w:t>
      </w:r>
      <w:r>
        <w:t xml:space="preserve">2013;382(9890):427–51.</w:t>
      </w:r>
    </w:p>
    <w:p>
      <w:pPr>
        <w:pStyle w:val="Compact"/>
        <w:numPr>
          <w:ilvl w:val="0"/>
          <w:numId w:val="1001"/>
        </w:numPr>
      </w:pPr>
      <w:r>
        <w:t xml:space="preserve">de Onis M, Branca F. Childhood stunting: a global perspective. Matern Child Nutr.</w:t>
      </w:r>
      <w:r>
        <w:t xml:space="preserve"> </w:t>
      </w:r>
      <w:r>
        <w:t xml:space="preserve">2016;12(Suppl 1):12–26.</w:t>
      </w:r>
    </w:p>
    <w:p>
      <w:pPr>
        <w:pStyle w:val="Compact"/>
        <w:numPr>
          <w:ilvl w:val="0"/>
          <w:numId w:val="1001"/>
        </w:numPr>
      </w:pPr>
      <w:r>
        <w:t xml:space="preserve">UNICEF, World Health Organization, World Bank Group. Levels and trends in child malnutrition:</w:t>
      </w:r>
      <w:r>
        <w:t xml:space="preserve"> </w:t>
      </w:r>
      <w:r>
        <w:t xml:space="preserve">UNICEF/WHO/World Bank Group joint child malnutrition estimates, key findings of the 2023 edition.</w:t>
      </w:r>
      <w:r>
        <w:t xml:space="preserve"> </w:t>
      </w:r>
      <w:r>
        <w:t xml:space="preserve">Geneva: World Health Organization; 2023.</w:t>
      </w:r>
    </w:p>
    <w:p>
      <w:pPr>
        <w:pStyle w:val="Compact"/>
        <w:numPr>
          <w:ilvl w:val="0"/>
          <w:numId w:val="1001"/>
        </w:numPr>
      </w:pPr>
      <w:r>
        <w:t xml:space="preserve">Victora CG, Christian P, Vidaletti LP, Gatica-Domínguez G, Menon P, Black RE. Revisiting maternal</w:t>
      </w:r>
      <w:r>
        <w:t xml:space="preserve"> </w:t>
      </w:r>
      <w:r>
        <w:t xml:space="preserve">and child undernutrition in low-income and middle-income countries: variable progress towards an</w:t>
      </w:r>
      <w:r>
        <w:t xml:space="preserve"> </w:t>
      </w:r>
      <w:r>
        <w:t xml:space="preserve">unfinished agenda. Lancet. 2021;397(10282):1388–99.</w:t>
      </w:r>
    </w:p>
    <w:p>
      <w:pPr>
        <w:pStyle w:val="Compact"/>
        <w:numPr>
          <w:ilvl w:val="0"/>
          <w:numId w:val="1001"/>
        </w:numPr>
      </w:pPr>
      <w:r>
        <w:t xml:space="preserve">World Health Organization. Global nutrition targets 2025: stunting policy brief. Geneva: World</w:t>
      </w:r>
      <w:r>
        <w:t xml:space="preserve"> </w:t>
      </w:r>
      <w:r>
        <w:t xml:space="preserve">Health Organization; 2014.</w:t>
      </w:r>
    </w:p>
    <w:p>
      <w:pPr>
        <w:pStyle w:val="Compact"/>
        <w:numPr>
          <w:ilvl w:val="0"/>
          <w:numId w:val="1001"/>
        </w:numPr>
      </w:pPr>
      <w:r>
        <w:t xml:space="preserve">Corsi DJ, Neuman M, Finlay JE, Subramanian SV. Demographic and health surveys: a profile. Int J</w:t>
      </w:r>
      <w:r>
        <w:t xml:space="preserve"> </w:t>
      </w:r>
      <w:r>
        <w:t xml:space="preserve">Epidemiol. 2012;41(6):1602–13.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and Background (draft)</dc:title>
  <dc:creator/>
  <cp:keywords/>
  <dcterms:created xsi:type="dcterms:W3CDTF">2026-09-16T04:33:15Z</dcterms:created>
  <dcterms:modified xsi:type="dcterms:W3CDTF">2026-09-16T04:33:15Z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of 16 September 2026 — for author review</vt:lpwstr>
  </property>
  <property fmtid="{D5CDD505-2E9C-101B-9397-08002B2CF9AE}" pid="3" name="subtitle">
    <vt:lpwstr>Missing-data methods and equity estimates of child undernutrition: Madagascar DHS 2021</vt:lpwstr>
  </property>
</Properties>
</file>