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Мультимножество (multiset) m для непустого множества токенов S может быть представлено как функция от S, сопоставляющая его с множеством неотрицательных чисел N. Эта функция сопоставляет каждый элемент s некоторому неотрицательному числу m(s) - количеству вхождений (multiplicity) элемента s в мультимножество m.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Мультимножества состоят из базовых множеств (basis set). Каждому базовому множеству соответствует число, количество вхождений</w:t>
      </w:r>
      <w:r w:rsidRPr="00B57A55">
        <w:rPr>
          <w:highlight w:val="yellow"/>
          <w:lang w:val="ru-RU"/>
        </w:rPr>
        <w:t>…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Например, используя синтаксис CPN ML, для следующего мультимножества: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m = 1`(1</w:t>
      </w:r>
      <w:r>
        <w:rPr>
          <w:lang w:val="ru-RU"/>
        </w:rPr>
        <w:t>, “COL”) ++ 3`(2, “OUR”) ++ 2`(3</w:t>
      </w:r>
      <w:r w:rsidRPr="00B57A55">
        <w:rPr>
          <w:lang w:val="ru-RU"/>
        </w:rPr>
        <w:t>, “ED ”)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над некоторым множеством цветов:</w:t>
      </w:r>
    </w:p>
    <w:p w:rsidR="00B57A55" w:rsidRPr="00B57A55" w:rsidRDefault="00B57A55" w:rsidP="00B57A55">
      <w:pPr>
        <w:rPr>
          <w:lang w:val="ru-RU"/>
        </w:rPr>
      </w:pPr>
      <w:r w:rsidRPr="00B57A55">
        <w:rPr>
          <w:lang w:val="ru-RU"/>
        </w:rPr>
        <w:t>s = (number, string)</w:t>
      </w:r>
    </w:p>
    <w:p w:rsidR="001D102F" w:rsidRDefault="00B57A55" w:rsidP="00B57A55">
      <w:pPr>
        <w:rPr>
          <w:lang w:val="ru-RU"/>
        </w:rPr>
      </w:pPr>
      <w:r w:rsidRPr="00B57A55">
        <w:rPr>
          <w:lang w:val="ru-RU"/>
        </w:rPr>
        <w:t>мультимножество может быть определено следующим образом:</w:t>
      </w:r>
    </w:p>
    <w:p w:rsidR="00B57A55" w:rsidRPr="00414AE2" w:rsidRDefault="00B57A55" w:rsidP="00B57A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  <w:lang w:val="ru-RU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</w:rPr>
                    <m:t>=(1,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COL"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  <m:r>
                    <w:rPr>
                      <w:rFonts w:ascii="Cambria Math" w:hAnsi="Cambria Math"/>
                      <w:lang w:val="ru-RU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</w:rPr>
                    <m:t>=(2,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OUR"</m:t>
                  </m:r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ru-RU"/>
                    </w:rPr>
                    <m:t>при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  <m:r>
                    <w:rPr>
                      <w:rFonts w:ascii="Cambria Math" w:hAnsi="Cambria Math"/>
                    </w:rPr>
                    <m:t>=(3,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ED "</m:t>
                  </m:r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  <w:lang w:val="ru-RU"/>
                    </w:rPr>
                    <m:t>иначе</m:t>
                  </m:r>
                </m:e>
              </m:eqArr>
            </m:e>
          </m:d>
        </m:oMath>
      </m:oMathPara>
    </w:p>
    <w:p w:rsidR="00B57A55" w:rsidRDefault="00850225" w:rsidP="00B57A55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</w:rPr>
        <w:t>s</w:t>
      </w:r>
      <w:proofErr w:type="gramEnd"/>
      <w:r w:rsidRPr="008502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принадлежит мультимножеству </w:t>
      </w:r>
      <w:r>
        <w:rPr>
          <w:rFonts w:eastAsiaTheme="minorEastAsia"/>
        </w:rPr>
        <w:t>m</w:t>
      </w:r>
      <w:r w:rsidRPr="00850225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если </w:t>
      </w:r>
      <w:r>
        <w:rPr>
          <w:rFonts w:eastAsiaTheme="minorEastAsia"/>
        </w:rPr>
        <w:t>m</w:t>
      </w:r>
      <w:r w:rsidRPr="00850225">
        <w:rPr>
          <w:rFonts w:eastAsiaTheme="minorEastAsia"/>
          <w:lang w:val="ru-RU"/>
        </w:rPr>
        <w:t>(</w:t>
      </w:r>
      <w:r>
        <w:rPr>
          <w:rFonts w:eastAsiaTheme="minorEastAsia"/>
        </w:rPr>
        <w:t>s</w:t>
      </w:r>
      <w:r w:rsidRPr="00850225">
        <w:rPr>
          <w:rFonts w:eastAsiaTheme="minorEastAsia"/>
          <w:lang w:val="ru-RU"/>
        </w:rPr>
        <w:t>) &gt; 0</w:t>
      </w:r>
    </w:p>
    <w:p w:rsidR="00850225" w:rsidRDefault="00850225" w:rsidP="00B57A5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отличие от </w:t>
      </w:r>
      <w:r w:rsidRPr="00850225">
        <w:rPr>
          <w:rFonts w:eastAsiaTheme="minorEastAsia"/>
          <w:lang w:val="ru-RU"/>
        </w:rPr>
        <w:t>[</w:t>
      </w:r>
      <w:r>
        <w:rPr>
          <w:rFonts w:eastAsiaTheme="minorEastAsia"/>
        </w:rPr>
        <w:t>Jensen</w:t>
      </w:r>
      <w:r w:rsidRPr="00850225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CPN</w:t>
      </w:r>
      <w:r w:rsidRPr="0085022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Tools</w:t>
      </w:r>
      <w:r w:rsidRPr="00850225">
        <w:rPr>
          <w:rFonts w:eastAsiaTheme="minorEastAsia"/>
          <w:lang w:val="ru-RU"/>
        </w:rPr>
        <w:t>]</w:t>
      </w:r>
      <w:r>
        <w:rPr>
          <w:rFonts w:eastAsiaTheme="minorEastAsia"/>
          <w:lang w:val="ru-RU"/>
        </w:rPr>
        <w:t xml:space="preserve">, для мультимножеств не определены операции сложения, вычитания, сравнения и умножения на число. Однако, они могут появиться в ходе развития системы </w:t>
      </w:r>
      <w:proofErr w:type="spellStart"/>
      <w:r>
        <w:rPr>
          <w:rFonts w:eastAsiaTheme="minorEastAsia"/>
        </w:rPr>
        <w:t>OntoNet</w:t>
      </w:r>
      <w:proofErr w:type="spellEnd"/>
      <w:r>
        <w:rPr>
          <w:rFonts w:eastAsiaTheme="minorEastAsia"/>
          <w:lang w:val="ru-RU"/>
        </w:rPr>
        <w:t>.</w:t>
      </w:r>
    </w:p>
    <w:p w:rsidR="00850225" w:rsidRDefault="00BB12AB" w:rsidP="00B57A5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</m:t>
        </m:r>
      </m:oMath>
      <w:r>
        <w:rPr>
          <w:rFonts w:eastAsiaTheme="minorEastAsia"/>
          <w:lang w:val="ru-RU"/>
        </w:rPr>
        <w:t xml:space="preserve">, где </w:t>
      </w:r>
      <w:proofErr w:type="spellStart"/>
      <w:r>
        <w:rPr>
          <w:rFonts w:eastAsiaTheme="minorEastAsia"/>
        </w:rPr>
        <w:t>i</w:t>
      </w:r>
      <w:proofErr w:type="spellEnd"/>
      <w:r w:rsidRPr="00BB12AB">
        <w:rPr>
          <w:rFonts w:eastAsiaTheme="minorEastAsia"/>
          <w:lang w:val="ru-RU"/>
        </w:rPr>
        <w:t xml:space="preserve"> = 0,1,2…, </w:t>
      </w:r>
      <w:r>
        <w:rPr>
          <w:rFonts w:eastAsiaTheme="minorEastAsia"/>
          <w:lang w:val="ru-RU"/>
        </w:rPr>
        <w:t xml:space="preserve">а </w:t>
      </w:r>
      <w:r>
        <w:rPr>
          <w:rFonts w:eastAsiaTheme="minorEastAsia"/>
        </w:rPr>
        <w:t>M</w:t>
      </w:r>
      <w:r w:rsidRPr="00BB12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B12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набор всех мультимножеств, справедливо:</w:t>
      </w:r>
    </w:p>
    <w:p w:rsidR="00BB12AB" w:rsidRPr="00BB12AB" w:rsidRDefault="00732F44" w:rsidP="00B57A55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при </m:t>
                  </m:r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  <w:lang w:val="ru-RU"/>
                    </w:rPr>
                    <m:t>иначе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BB12AB" w:rsidRDefault="007D4D4B" w:rsidP="007D4D4B">
      <w:pPr>
        <w:rPr>
          <w:lang w:val="ru-RU"/>
        </w:rPr>
      </w:pPr>
      <w:r>
        <w:rPr>
          <w:lang w:val="ru-RU"/>
        </w:rPr>
        <w:t>Таким образом, определение для мультимножества:</w:t>
      </w:r>
    </w:p>
    <w:p w:rsidR="007D4D4B" w:rsidRDefault="007D4D4B" w:rsidP="007D4D4B">
      <w:pPr>
        <w:rPr>
          <w:rFonts w:eastAsiaTheme="minorEastAsia"/>
          <w:lang w:val="ru-RU"/>
        </w:rPr>
      </w:pPr>
      <w:r>
        <w:rPr>
          <w:lang w:val="ru-RU"/>
        </w:rPr>
        <w:t xml:space="preserve">Пусть </w:t>
      </w:r>
      <m:oMath>
        <m:r>
          <w:rPr>
            <w:rFonts w:ascii="Cambria Math" w:hAnsi="Cambria Math"/>
            <w:lang w:val="ru-RU"/>
          </w:rPr>
          <m:t>S={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…}</m:t>
        </m:r>
      </m:oMath>
      <w:r w:rsidRPr="007D4D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это непустое множество. Тогда мультимножеством над </w:t>
      </w:r>
      <w:r>
        <w:rPr>
          <w:rFonts w:eastAsiaTheme="minorEastAsia"/>
        </w:rPr>
        <w:t>S</w:t>
      </w:r>
      <w:r w:rsidRPr="007D4D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функция </w:t>
      </w:r>
      <m:oMath>
        <m:r>
          <w:rPr>
            <w:rFonts w:ascii="Cambria Math" w:eastAsiaTheme="minorEastAsia" w:hAnsi="Cambria Math"/>
            <w:lang w:val="ru-RU"/>
          </w:rPr>
          <m:t>m:S→N</m:t>
        </m:r>
      </m:oMath>
      <w:r>
        <w:rPr>
          <w:rFonts w:eastAsiaTheme="minorEastAsia"/>
          <w:lang w:val="ru-RU"/>
        </w:rPr>
        <w:t xml:space="preserve">, сопоставляющая </w:t>
      </w:r>
      <w:r>
        <w:rPr>
          <w:rFonts w:eastAsiaTheme="minorEastAsia"/>
          <w:lang w:val="ru-RU"/>
        </w:rPr>
        <w:lastRenderedPageBreak/>
        <w:t xml:space="preserve">каждый элемент </w:t>
      </w:r>
      <m:oMath>
        <m:r>
          <w:rPr>
            <w:rFonts w:ascii="Cambria Math" w:eastAsiaTheme="minorEastAsia" w:hAnsi="Cambria Math"/>
            <w:lang w:val="ru-RU"/>
          </w:rPr>
          <m:t>s∈S</m:t>
        </m:r>
      </m:oMath>
      <w:r>
        <w:rPr>
          <w:rFonts w:eastAsiaTheme="minorEastAsia"/>
          <w:lang w:val="ru-RU"/>
        </w:rPr>
        <w:t xml:space="preserve"> неотрицательному целому числу </w:t>
      </w:r>
      <m:oMath>
        <m:r>
          <w:rPr>
            <w:rFonts w:ascii="Cambria Math" w:eastAsiaTheme="minorEastAsia" w:hAnsi="Cambria Math"/>
            <w:lang w:val="ru-RU"/>
          </w:rPr>
          <m:t>m(s)∈N</m:t>
        </m:r>
      </m:oMath>
      <w:r>
        <w:rPr>
          <w:rFonts w:eastAsiaTheme="minorEastAsia"/>
          <w:lang w:val="ru-RU"/>
        </w:rPr>
        <w:t>, являющемуся количеством вхождений (</w:t>
      </w:r>
      <w:r>
        <w:rPr>
          <w:rFonts w:eastAsiaTheme="minorEastAsia"/>
        </w:rPr>
        <w:t>multiplicity</w:t>
      </w:r>
      <w:r w:rsidRPr="007D4D4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элемента </w:t>
      </w:r>
      <w:r>
        <w:rPr>
          <w:rFonts w:eastAsiaTheme="minorEastAsia"/>
        </w:rPr>
        <w:t>s</w:t>
      </w:r>
      <w:r w:rsidRPr="007D4D4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мультимножество </w:t>
      </w:r>
      <w:r>
        <w:rPr>
          <w:rFonts w:eastAsiaTheme="minorEastAsia"/>
        </w:rPr>
        <w:t>m</w:t>
      </w:r>
      <w:r>
        <w:rPr>
          <w:rFonts w:eastAsiaTheme="minorEastAsia"/>
          <w:lang w:val="ru-RU"/>
        </w:rPr>
        <w:t>.</w:t>
      </w:r>
    </w:p>
    <w:p w:rsidR="007D4D4B" w:rsidRDefault="00013675" w:rsidP="00013675">
      <w:pPr>
        <w:rPr>
          <w:rFonts w:eastAsiaTheme="minorEastAsia"/>
          <w:lang w:val="ru-RU"/>
        </w:rPr>
      </w:pPr>
      <w:r>
        <w:rPr>
          <w:lang w:val="ru-RU"/>
        </w:rPr>
        <w:t xml:space="preserve">Элемент </w:t>
      </w:r>
      <m:oMath>
        <m:r>
          <w:rPr>
            <w:rFonts w:ascii="Cambria Math" w:hAnsi="Cambria Math"/>
            <w:lang w:val="ru-RU"/>
          </w:rPr>
          <m:t>s</m:t>
        </m:r>
      </m:oMath>
      <w:r w:rsidRPr="0001367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входит в мультимножество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>, если справедливо следующее:</w:t>
      </w:r>
    </w:p>
    <w:p w:rsidR="00013675" w:rsidRPr="00013675" w:rsidRDefault="00013675" w:rsidP="00013675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∀s∈S:s∈m↔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&gt;0</m:t>
          </m:r>
        </m:oMath>
      </m:oMathPara>
    </w:p>
    <w:p w:rsidR="00013675" w:rsidRDefault="00013675" w:rsidP="000136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Набор все мультимножеств, определенных над множеством </w:t>
      </w:r>
      <m:oMath>
        <m:r>
          <w:rPr>
            <w:rFonts w:ascii="Cambria Math" w:eastAsiaTheme="minorEastAsia" w:hAnsi="Cambria Math"/>
            <w:lang w:val="ru-RU"/>
          </w:rPr>
          <m:t>S</m:t>
        </m:r>
      </m:oMath>
      <w:r w:rsidRPr="0001367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MS</m:t>
            </m:r>
          </m:sub>
        </m:sSub>
      </m:oMath>
      <w:r>
        <w:rPr>
          <w:rFonts w:eastAsiaTheme="minorEastAsia"/>
          <w:lang w:val="ru-RU"/>
        </w:rPr>
        <w:t>.</w:t>
      </w:r>
    </w:p>
    <w:p w:rsidR="00845BAC" w:rsidRDefault="00845BAC" w:rsidP="000136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=====</w:t>
      </w:r>
    </w:p>
    <w:p w:rsidR="00845BAC" w:rsidRDefault="00845BAC" w:rsidP="00013675">
      <w:pPr>
        <w:rPr>
          <w:lang w:val="ru-RU"/>
        </w:rPr>
      </w:pPr>
      <w:r>
        <w:rPr>
          <w:lang w:val="ru-RU"/>
        </w:rPr>
        <w:t>Синтаксис раскрашенных сетей Петри</w:t>
      </w:r>
      <w:r w:rsidR="00E01AD2">
        <w:rPr>
          <w:lang w:val="ru-RU"/>
        </w:rPr>
        <w:t>, т.е. элементы, составляющие статичную структуру РСП.</w:t>
      </w:r>
    </w:p>
    <w:p w:rsidR="00E01AD2" w:rsidRDefault="00E01AD2" w:rsidP="00013675">
      <w:pPr>
        <w:rPr>
          <w:lang w:val="ru-RU"/>
        </w:rPr>
      </w:pPr>
      <w:r>
        <w:rPr>
          <w:lang w:val="ru-RU"/>
        </w:rPr>
        <w:t xml:space="preserve">Структура сети состоит их конечного множества позиций </w:t>
      </w:r>
      <w:r>
        <w:t>P</w:t>
      </w:r>
      <w:r>
        <w:rPr>
          <w:lang w:val="ru-RU"/>
        </w:rPr>
        <w:t xml:space="preserve">, конечного множества переходов </w:t>
      </w:r>
      <w:r>
        <w:t>T</w:t>
      </w:r>
      <w:r>
        <w:rPr>
          <w:lang w:val="ru-RU"/>
        </w:rPr>
        <w:t xml:space="preserve"> и конечного множества направленных дуг </w:t>
      </w:r>
      <w:r>
        <w:t>A</w:t>
      </w:r>
      <w:r>
        <w:rPr>
          <w:lang w:val="ru-RU"/>
        </w:rPr>
        <w:t>.</w:t>
      </w:r>
    </w:p>
    <w:p w:rsidR="00E01AD2" w:rsidRDefault="00E01AD2" w:rsidP="00013675">
      <w:pPr>
        <w:rPr>
          <w:lang w:val="ru-RU"/>
        </w:rPr>
      </w:pPr>
      <w:r>
        <w:rPr>
          <w:lang w:val="ru-RU"/>
        </w:rPr>
        <w:t xml:space="preserve">Множества </w:t>
      </w:r>
      <w:r>
        <w:t>P</w:t>
      </w:r>
      <w:r w:rsidRPr="00E01A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</w:t>
      </w:r>
      <w:r w:rsidRPr="00E01AD2">
        <w:rPr>
          <w:lang w:val="ru-RU"/>
        </w:rPr>
        <w:t xml:space="preserve"> </w:t>
      </w:r>
      <w:r>
        <w:rPr>
          <w:lang w:val="ru-RU"/>
        </w:rPr>
        <w:t>являются непересекающимися:</w:t>
      </w:r>
    </w:p>
    <w:p w:rsidR="00E01AD2" w:rsidRPr="00E01AD2" w:rsidRDefault="00E01AD2" w:rsidP="00013675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P∩T=∅</m:t>
          </m:r>
        </m:oMath>
      </m:oMathPara>
    </w:p>
    <w:p w:rsidR="00E01AD2" w:rsidRDefault="00E01AD2" w:rsidP="000136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Множество дуг </w:t>
      </w:r>
      <w:r>
        <w:rPr>
          <w:rFonts w:eastAsiaTheme="minorEastAsia"/>
        </w:rPr>
        <w:t>A</w:t>
      </w:r>
      <w:r w:rsidRPr="00E01AD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представляет из себя множество пар источник-приемник, определяющих направление дуги. Связываются позиции и переходы между собой, так, что:</w:t>
      </w:r>
    </w:p>
    <w:p w:rsidR="00E01AD2" w:rsidRPr="00E01AD2" w:rsidRDefault="00E01AD2" w:rsidP="00013675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A⊆</m:t>
          </m:r>
          <m:r>
            <w:rPr>
              <w:rFonts w:ascii="Cambria Math" w:eastAsiaTheme="minorEastAsia" w:hAnsi="Cambria Math"/>
              <w:lang w:val="ru-RU"/>
            </w:rPr>
            <m:t>(P×T)∪(T×P)</m:t>
          </m:r>
        </m:oMath>
      </m:oMathPara>
    </w:p>
    <w:p w:rsidR="00E01AD2" w:rsidRDefault="00E01AD2" w:rsidP="00E01AD2">
      <w:pPr>
        <w:rPr>
          <w:lang w:val="ru-RU"/>
        </w:rPr>
      </w:pPr>
      <w:r>
        <w:rPr>
          <w:lang w:val="ru-RU"/>
        </w:rPr>
        <w:t>Понятие двунаправленных дуг не определено.</w:t>
      </w:r>
    </w:p>
    <w:p w:rsidR="00E01AD2" w:rsidRDefault="00E01AD2" w:rsidP="00E01AD2">
      <w:pPr>
        <w:rPr>
          <w:lang w:val="ru-RU"/>
        </w:rPr>
      </w:pPr>
      <w:r>
        <w:rPr>
          <w:lang w:val="ru-RU"/>
        </w:rPr>
        <w:t xml:space="preserve">Параллельные дуги определены </w:t>
      </w:r>
      <w:r w:rsidRPr="00E01AD2">
        <w:rPr>
          <w:highlight w:val="yellow"/>
          <w:lang w:val="ru-RU"/>
        </w:rPr>
        <w:t>...</w:t>
      </w:r>
    </w:p>
    <w:p w:rsidR="00E01AD2" w:rsidRDefault="008B1ED5" w:rsidP="00E01AD2">
      <w:pPr>
        <w:rPr>
          <w:lang w:val="ru-RU"/>
        </w:rPr>
      </w:pPr>
      <w:r>
        <w:rPr>
          <w:lang w:val="ru-RU"/>
        </w:rPr>
        <w:t>К термам(подписям) сети относятся аннотации дуг, сторожевые условия, наборы цветов и начальные маркировки.</w:t>
      </w:r>
    </w:p>
    <w:p w:rsidR="008B1ED5" w:rsidRDefault="008B1ED5" w:rsidP="00E01AD2">
      <w:pPr>
        <w:rPr>
          <w:lang w:val="ru-RU"/>
        </w:rPr>
      </w:pPr>
      <w:r>
        <w:rPr>
          <w:lang w:val="ru-RU"/>
        </w:rPr>
        <w:t xml:space="preserve">Множество выражений </w:t>
      </w:r>
      <w:r w:rsidR="00A376F6">
        <w:rPr>
          <w:lang w:val="ru-RU"/>
        </w:rPr>
        <w:t>на языке</w:t>
      </w:r>
      <w:r>
        <w:rPr>
          <w:lang w:val="ru-RU"/>
        </w:rPr>
        <w:t xml:space="preserve"> термов опеределено как </w:t>
      </w:r>
      <w:r>
        <w:t>EXPR</w:t>
      </w:r>
      <w:r>
        <w:rPr>
          <w:lang w:val="ru-RU"/>
        </w:rPr>
        <w:t>.</w:t>
      </w:r>
    </w:p>
    <w:p w:rsidR="00A376F6" w:rsidRDefault="00AA3ED6" w:rsidP="00E01AD2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Type[e]</m:t>
        </m:r>
      </m:oMath>
      <w:r>
        <w:rPr>
          <w:rFonts w:eastAsiaTheme="minorEastAsia"/>
          <w:lang w:val="ru-RU"/>
        </w:rPr>
        <w:t xml:space="preserve"> обозначает тип выражения </w:t>
      </w:r>
      <m:oMath>
        <m:r>
          <w:rPr>
            <w:rFonts w:ascii="Cambria Math" w:eastAsiaTheme="minorEastAsia" w:hAnsi="Cambria Math"/>
            <w:lang w:val="ru-RU"/>
          </w:rPr>
          <m:t>e ∈EXPR</m:t>
        </m:r>
      </m:oMath>
      <w:r>
        <w:rPr>
          <w:rFonts w:eastAsiaTheme="minorEastAsia"/>
          <w:lang w:val="ru-RU"/>
        </w:rPr>
        <w:t>, т.е. тип результирующего значения, полученного в ходе вычисления</w:t>
      </w:r>
    </w:p>
    <w:p w:rsidR="00AA3ED6" w:rsidRDefault="00AA3ED6" w:rsidP="00E01A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Свободные переменные термов не определены</w:t>
      </w:r>
    </w:p>
    <w:p w:rsidR="00AA3ED6" w:rsidRDefault="00AA3ED6" w:rsidP="00E01AD2">
      <w:pPr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w:lastRenderedPageBreak/>
          <m:t>Σ</m:t>
        </m:r>
      </m:oMath>
      <w:r>
        <w:rPr>
          <w:rFonts w:eastAsiaTheme="minorEastAsia"/>
          <w:lang w:val="ru-RU"/>
        </w:rPr>
        <w:t xml:space="preserve"> – множество наборов цветов, определенных в модели РСП.</w:t>
      </w:r>
    </w:p>
    <w:p w:rsidR="00AA3ED6" w:rsidRDefault="00AA3ED6" w:rsidP="00E01AD2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lang w:val="ru-RU"/>
        </w:rPr>
        <w:t xml:space="preserve"> – множество переменных, имеющих тип </w:t>
      </w: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</w:p>
    <w:p w:rsidR="00AA3ED6" w:rsidRPr="00414AE2" w:rsidRDefault="00AA3ED6" w:rsidP="00E01A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C:P→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набор цветов каждой позиции </w:t>
      </w:r>
      <w:r>
        <w:rPr>
          <w:rFonts w:eastAsiaTheme="minorEastAsia"/>
        </w:rPr>
        <w:t>p</w:t>
      </w:r>
    </w:p>
    <w:p w:rsidR="00AA3ED6" w:rsidRPr="00AA3ED6" w:rsidRDefault="00AA3ED6" w:rsidP="00AA3ED6">
      <w:pPr>
        <w:rPr>
          <w:i/>
          <w:lang w:val="ru-RU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:T→EXPR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сторожевое условие каждому переходу </w:t>
      </w:r>
      <w:r>
        <w:rPr>
          <w:rFonts w:eastAsiaTheme="minorEastAsia"/>
        </w:rPr>
        <w:t>t</w:t>
      </w:r>
      <w:r>
        <w:rPr>
          <w:rFonts w:eastAsiaTheme="minorEastAsia"/>
          <w:lang w:val="ru-RU"/>
        </w:rPr>
        <w:t xml:space="preserve">. При этом, </w:t>
      </w:r>
      <m:oMath>
        <m:r>
          <w:rPr>
            <w:rFonts w:ascii="Cambria Math" w:eastAsiaTheme="minorEastAsia" w:hAnsi="Cambria Math"/>
            <w:lang w:val="ru-RU"/>
          </w:rPr>
          <m:t>Type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=boolean</m:t>
        </m:r>
      </m:oMath>
      <w:r w:rsidR="00F34402">
        <w:rPr>
          <w:rFonts w:eastAsiaTheme="minorEastAsia"/>
          <w:lang w:val="ru-RU"/>
        </w:rPr>
        <w:t>.</w:t>
      </w:r>
    </w:p>
    <w:p w:rsidR="00AA3ED6" w:rsidRPr="00414AE2" w:rsidRDefault="00503E20" w:rsidP="00E01A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  <w:lang w:val="ru-RU"/>
          </w:rPr>
          <m:t>E:A→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аннотацию каждой дуге </w:t>
      </w:r>
      <w:r>
        <w:rPr>
          <w:rFonts w:eastAsiaTheme="minorEastAsia"/>
        </w:rPr>
        <w:t>a</w:t>
      </w:r>
    </w:p>
    <w:p w:rsidR="00503E20" w:rsidRPr="002361F1" w:rsidRDefault="00503E20" w:rsidP="00E01AD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Типы выражений не соотносятся с типами позиций (наборами цветов позиций)</w:t>
      </w:r>
      <w:r w:rsidR="002361F1">
        <w:rPr>
          <w:rFonts w:eastAsiaTheme="minorEastAsia"/>
          <w:lang w:val="ru-RU"/>
        </w:rPr>
        <w:t xml:space="preserve">, максимально используем динамическую природу </w:t>
      </w:r>
      <w:r w:rsidR="002361F1">
        <w:rPr>
          <w:rFonts w:eastAsiaTheme="minorEastAsia"/>
        </w:rPr>
        <w:t>JavaScript</w:t>
      </w:r>
      <w:r w:rsidR="002361F1">
        <w:rPr>
          <w:rFonts w:eastAsiaTheme="minorEastAsia"/>
          <w:lang w:val="ru-RU"/>
        </w:rPr>
        <w:t>.</w:t>
      </w:r>
    </w:p>
    <w:p w:rsidR="00503E20" w:rsidRPr="00503E20" w:rsidRDefault="00503E20" w:rsidP="00503E2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Функция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:P→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 w:rsidRPr="00AA3ED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сопоставляет инициализирующий терм каждой позиции </w:t>
      </w:r>
      <w:r>
        <w:rPr>
          <w:rFonts w:eastAsiaTheme="minorEastAsia"/>
        </w:rPr>
        <w:t>p</w:t>
      </w:r>
      <w:r>
        <w:rPr>
          <w:rFonts w:eastAsiaTheme="minorEastAsia"/>
          <w:lang w:val="ru-RU"/>
        </w:rPr>
        <w:t>, что необходимо для получения мультимножества токенов позиции.</w:t>
      </w:r>
    </w:p>
    <w:p w:rsidR="00503E20" w:rsidRDefault="000F77A7" w:rsidP="000F77A7">
      <w:pPr>
        <w:rPr>
          <w:lang w:val="ru-RU"/>
        </w:rPr>
      </w:pPr>
      <w:r>
        <w:rPr>
          <w:lang w:val="ru-RU"/>
        </w:rPr>
        <w:t>Таким образом, определение статической структуры РСП:</w:t>
      </w:r>
    </w:p>
    <w:p w:rsidR="000F77A7" w:rsidRPr="000F77A7" w:rsidRDefault="000F77A7" w:rsidP="000F77A7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CPN=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P,T,A,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  <m:r>
                <w:rPr>
                  <w:rFonts w:ascii="Cambria Math" w:hAnsi="Cambria Math"/>
                  <w:lang w:val="ru-RU"/>
                </w:rPr>
                <m:t>,V,C,G,E,I</m:t>
              </m:r>
            </m:e>
          </m:d>
          <m:r>
            <w:rPr>
              <w:rFonts w:ascii="Cambria Math" w:hAnsi="Cambria Math"/>
              <w:lang w:val="ru-RU"/>
            </w:rPr>
            <m:t>, где</m:t>
          </m:r>
        </m:oMath>
      </m:oMathPara>
    </w:p>
    <w:p w:rsidR="000F77A7" w:rsidRDefault="000F77A7" w:rsidP="000F77A7">
      <w:pPr>
        <w:rPr>
          <w:lang w:val="ru-RU"/>
        </w:rPr>
      </w:pPr>
      <w:r>
        <w:t>P</w:t>
      </w:r>
      <w:r w:rsidRPr="000F77A7">
        <w:rPr>
          <w:lang w:val="ru-RU"/>
        </w:rPr>
        <w:t xml:space="preserve"> – </w:t>
      </w:r>
      <w:proofErr w:type="gramStart"/>
      <w:r>
        <w:rPr>
          <w:lang w:val="ru-RU"/>
        </w:rPr>
        <w:t>конечное</w:t>
      </w:r>
      <w:proofErr w:type="gramEnd"/>
      <w:r>
        <w:rPr>
          <w:lang w:val="ru-RU"/>
        </w:rPr>
        <w:t xml:space="preserve"> множество позиций</w:t>
      </w:r>
    </w:p>
    <w:p w:rsidR="000F77A7" w:rsidRDefault="000F77A7" w:rsidP="000F77A7">
      <w:pPr>
        <w:rPr>
          <w:lang w:val="ru-RU"/>
        </w:rPr>
      </w:pPr>
      <w:r>
        <w:t>T</w:t>
      </w:r>
      <w:r w:rsidRPr="000F77A7">
        <w:rPr>
          <w:lang w:val="ru-RU"/>
        </w:rPr>
        <w:t xml:space="preserve"> </w:t>
      </w:r>
      <w:r>
        <w:rPr>
          <w:lang w:val="ru-RU"/>
        </w:rPr>
        <w:t>–</w:t>
      </w:r>
      <w:r w:rsidRPr="000F77A7">
        <w:rPr>
          <w:lang w:val="ru-RU"/>
        </w:rPr>
        <w:t xml:space="preserve"> </w:t>
      </w:r>
      <w:proofErr w:type="gramStart"/>
      <w:r>
        <w:rPr>
          <w:lang w:val="ru-RU"/>
        </w:rPr>
        <w:t>конечное</w:t>
      </w:r>
      <w:proofErr w:type="gramEnd"/>
      <w:r>
        <w:rPr>
          <w:lang w:val="ru-RU"/>
        </w:rPr>
        <w:t xml:space="preserve"> множество переходов, непересекающееся с </w:t>
      </w:r>
      <w:r>
        <w:t>P</w:t>
      </w:r>
    </w:p>
    <w:p w:rsidR="000F77A7" w:rsidRDefault="000F77A7" w:rsidP="000F77A7">
      <w:pPr>
        <w:rPr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⊆(P×T)∪(T×P)</m:t>
        </m:r>
      </m:oMath>
      <w:r w:rsidRPr="000F77A7">
        <w:rPr>
          <w:rFonts w:eastAsiaTheme="minorEastAsia"/>
          <w:i/>
          <w:lang w:val="ru-RU"/>
        </w:rPr>
        <w:t xml:space="preserve"> </w:t>
      </w:r>
      <w:r w:rsidRPr="000F77A7">
        <w:rPr>
          <w:lang w:val="ru-RU"/>
        </w:rPr>
        <w:t>– множе</w:t>
      </w:r>
      <w:r>
        <w:rPr>
          <w:lang w:val="ru-RU"/>
        </w:rPr>
        <w:t>ство направленных дуг</w:t>
      </w:r>
    </w:p>
    <w:p w:rsidR="000F77A7" w:rsidRDefault="000F77A7" w:rsidP="000F77A7">
      <w:pPr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 – конечное множество непустых наборов цветов</w:t>
      </w:r>
    </w:p>
    <w:p w:rsidR="000F77A7" w:rsidRDefault="000F77A7" w:rsidP="000F77A7">
      <w:pPr>
        <w:rPr>
          <w:rFonts w:eastAsiaTheme="minorEastAsia"/>
          <w:lang w:val="ru-RU"/>
        </w:rPr>
      </w:pPr>
      <w:r>
        <w:rPr>
          <w:rFonts w:eastAsiaTheme="minorEastAsia"/>
        </w:rPr>
        <w:t>V</w:t>
      </w:r>
      <w:r w:rsidRPr="000F77A7">
        <w:rPr>
          <w:rFonts w:eastAsiaTheme="minorEastAsia"/>
          <w:lang w:val="ru-RU"/>
        </w:rPr>
        <w:t xml:space="preserve"> – </w:t>
      </w:r>
      <w:proofErr w:type="gramStart"/>
      <w:r>
        <w:rPr>
          <w:rFonts w:eastAsiaTheme="minorEastAsia"/>
          <w:lang w:val="ru-RU"/>
        </w:rPr>
        <w:t>конечное</w:t>
      </w:r>
      <w:proofErr w:type="gramEnd"/>
      <w:r>
        <w:rPr>
          <w:rFonts w:eastAsiaTheme="minorEastAsia"/>
          <w:lang w:val="ru-RU"/>
        </w:rPr>
        <w:t xml:space="preserve"> множество типизированных переменных, для которых </w:t>
      </w:r>
      <m:oMath>
        <m:r>
          <w:rPr>
            <w:rFonts w:ascii="Cambria Math" w:eastAsiaTheme="minorEastAsia" w:hAnsi="Cambria Math"/>
          </w:rPr>
          <m:t>Type</m:t>
        </m:r>
        <m:r>
          <w:rPr>
            <w:rFonts w:ascii="Cambria Math" w:eastAsiaTheme="minorEastAsia" w:hAnsi="Cambria Math"/>
            <w:lang w:val="ru-RU"/>
          </w:rPr>
          <m:t>[v]∈</m:t>
        </m:r>
        <m:r>
          <m:rPr>
            <m:sty m:val="p"/>
          </m:rP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v∈V</m:t>
        </m:r>
      </m:oMath>
    </w:p>
    <w:p w:rsidR="000F77A7" w:rsidRPr="000F77A7" w:rsidRDefault="000F77A7" w:rsidP="000F77A7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:</m:t>
        </m:r>
        <m:r>
          <w:rPr>
            <w:rFonts w:ascii="Cambria Math" w:hAnsi="Cambria Math"/>
            <w:lang w:val="ru-RU"/>
          </w:rPr>
          <m:t>P</m:t>
        </m:r>
        <m:r>
          <m:rPr>
            <m:sty m:val="p"/>
          </m:rPr>
          <w:rPr>
            <w:rFonts w:ascii="Cambria Math" w:hAnsi="Cambria Math"/>
            <w:lang w:val="ru-RU"/>
          </w:rPr>
          <m:t>→Σ</m:t>
        </m:r>
      </m:oMath>
      <w:r>
        <w:rPr>
          <w:rFonts w:eastAsiaTheme="minorEastAsia"/>
          <w:lang w:val="ru-RU"/>
        </w:rPr>
        <w:t xml:space="preserve"> – функция набора цветов, сопоставляющая каждой позиции набор цветов</w:t>
      </w:r>
    </w:p>
    <w:p w:rsidR="000F77A7" w:rsidRPr="000F77A7" w:rsidRDefault="000F77A7" w:rsidP="000F77A7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:T→EXPR</m:t>
        </m:r>
      </m:oMath>
      <w:r>
        <w:rPr>
          <w:rFonts w:eastAsiaTheme="minorEastAsia"/>
          <w:lang w:val="ru-RU"/>
        </w:rPr>
        <w:t xml:space="preserve"> – функция сторожевого условия, сопоставляющая термы условий булевого типа каждому переходу</w:t>
      </w:r>
    </w:p>
    <w:p w:rsidR="000F77A7" w:rsidRPr="000F77A7" w:rsidRDefault="000F77A7" w:rsidP="000F77A7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E:A→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>
        <w:rPr>
          <w:rFonts w:eastAsiaTheme="minorEastAsia"/>
          <w:lang w:val="ru-RU"/>
        </w:rPr>
        <w:t xml:space="preserve"> – функция аннотации, сопоставляющая каждой дуге свою аннотацию</w:t>
      </w:r>
    </w:p>
    <w:p w:rsidR="000F77A7" w:rsidRDefault="000F77A7" w:rsidP="000F77A7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:P→</m:t>
        </m:r>
        <m:r>
          <m:rPr>
            <m:sty m:val="p"/>
          </m:rPr>
          <w:rPr>
            <w:rFonts w:ascii="Cambria Math" w:hAnsi="Cambria Math"/>
            <w:lang w:val="ru-RU"/>
          </w:rPr>
          <m:t>EXPR</m:t>
        </m:r>
      </m:oMath>
      <w:r>
        <w:rPr>
          <w:rFonts w:eastAsiaTheme="minorEastAsia"/>
          <w:lang w:val="ru-RU"/>
        </w:rPr>
        <w:t xml:space="preserve"> – функция инициализации, сопоставляющая начальные термы каждой позиции</w:t>
      </w:r>
    </w:p>
    <w:p w:rsidR="009605FF" w:rsidRDefault="00FD7722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=====</w:t>
      </w:r>
    </w:p>
    <w:p w:rsidR="009605FF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Семантика раскрашенных сетей Петри, т.е. динамика поведения</w:t>
      </w:r>
    </w:p>
    <w:p w:rsidR="00E63D7E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Понятия разрешенности и срабатывания перехода</w:t>
      </w:r>
    </w:p>
    <w:p w:rsidR="00E63D7E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Переход разрешен, если текущая маркировка входных позиций удовлетворяет аннотациям входных дуг и сторожевому условию перехода.</w:t>
      </w:r>
    </w:p>
    <w:p w:rsidR="00E63D7E" w:rsidRDefault="00E63D7E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Срабатывание перехода – формирование новой маркировки сети, для которой выбранные токены извлекаются из входных позиций перехода, а в выходных позициях формируются новые токены согласно аннотациям выходных дуг перехода.</w:t>
      </w:r>
    </w:p>
    <w:p w:rsidR="00791D94" w:rsidRDefault="00791D94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Маркировка </w:t>
      </w:r>
      <w:r>
        <w:rPr>
          <w:rFonts w:eastAsiaTheme="minorEastAsia"/>
        </w:rPr>
        <w:t>M</w:t>
      </w:r>
      <w:r w:rsidRPr="00791D9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это функция, сопоставляющая каждую позицию сети с мультимножеством токенов </w:t>
      </w:r>
      <w:r>
        <w:rPr>
          <w:rFonts w:eastAsiaTheme="minorEastAsia"/>
        </w:rPr>
        <w:t>M</w:t>
      </w:r>
      <w:r w:rsidRPr="00791D94">
        <w:rPr>
          <w:rFonts w:eastAsiaTheme="minorEastAsia"/>
          <w:lang w:val="ru-RU"/>
        </w:rPr>
        <w:t>(</w:t>
      </w:r>
      <w:r>
        <w:rPr>
          <w:rFonts w:eastAsiaTheme="minorEastAsia"/>
        </w:rPr>
        <w:t>p</w:t>
      </w:r>
      <w:r w:rsidRPr="00791D94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, что называется маркировкой позиции.</w:t>
      </w:r>
    </w:p>
    <w:p w:rsidR="00791D94" w:rsidRDefault="00652385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Токены – отдельные элементы мультимножества </w:t>
      </w:r>
      <w:r>
        <w:rPr>
          <w:rFonts w:eastAsiaTheme="minorEastAsia"/>
        </w:rPr>
        <w:t>M</w:t>
      </w:r>
      <w:r w:rsidRPr="00652385">
        <w:rPr>
          <w:rFonts w:eastAsiaTheme="minorEastAsia"/>
          <w:lang w:val="ru-RU"/>
        </w:rPr>
        <w:t>(</w:t>
      </w:r>
      <w:r>
        <w:rPr>
          <w:rFonts w:eastAsiaTheme="minorEastAsia"/>
        </w:rPr>
        <w:t>p</w:t>
      </w:r>
      <w:r w:rsidRPr="0065238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(базовые наборы, </w:t>
      </w:r>
      <w:r>
        <w:rPr>
          <w:rFonts w:eastAsiaTheme="minorEastAsia"/>
        </w:rPr>
        <w:t>basis</w:t>
      </w:r>
      <w:r w:rsidRPr="0065238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sets</w:t>
      </w:r>
      <w:r>
        <w:rPr>
          <w:rFonts w:eastAsiaTheme="minorEastAsia"/>
          <w:lang w:val="ru-RU"/>
        </w:rPr>
        <w:t>)</w:t>
      </w:r>
    </w:p>
    <w:p w:rsidR="00713A91" w:rsidRDefault="00713A91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получается путем вычисления всех инициализирующих термов.</w:t>
      </w:r>
    </w:p>
    <w:p w:rsidR="00E84C4C" w:rsidRDefault="002361F1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Связкой (</w:t>
      </w:r>
      <w:r>
        <w:rPr>
          <w:rFonts w:eastAsiaTheme="minorEastAsia"/>
        </w:rPr>
        <w:t>binding</w:t>
      </w:r>
      <w:r w:rsidRPr="002361F1">
        <w:rPr>
          <w:rFonts w:eastAsiaTheme="minorEastAsia"/>
          <w:lang w:val="ru-RU"/>
        </w:rPr>
        <w:t xml:space="preserve">)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 перехода </w:t>
      </w:r>
      <w:r>
        <w:rPr>
          <w:rFonts w:eastAsiaTheme="minorEastAsia"/>
        </w:rPr>
        <w:t>t</w:t>
      </w:r>
      <w:r w:rsidRPr="002361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функция, сопоставляющая каждой переменной перехода </w:t>
      </w:r>
      <w:r>
        <w:rPr>
          <w:rFonts w:eastAsiaTheme="minorEastAsia"/>
        </w:rPr>
        <w:t>t</w:t>
      </w:r>
      <w:r w:rsidRPr="002361F1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значение </w:t>
      </w:r>
      <w:r>
        <w:rPr>
          <w:rFonts w:eastAsiaTheme="minorEastAsia"/>
        </w:rPr>
        <w:t>b</w:t>
      </w:r>
      <w:r w:rsidRPr="002361F1">
        <w:rPr>
          <w:rFonts w:eastAsiaTheme="minorEastAsia"/>
          <w:lang w:val="ru-RU"/>
        </w:rPr>
        <w:t>(</w:t>
      </w:r>
      <w:r>
        <w:rPr>
          <w:rFonts w:eastAsiaTheme="minorEastAsia"/>
        </w:rPr>
        <w:t>v</w:t>
      </w:r>
      <w:r w:rsidRPr="002361F1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Элемент связки является парой (</w:t>
      </w:r>
      <w:r>
        <w:rPr>
          <w:rFonts w:eastAsiaTheme="minorEastAsia"/>
        </w:rPr>
        <w:t>t</w:t>
      </w:r>
      <w:r w:rsidRPr="00312D1A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), состоящей из перехода и связки </w:t>
      </w:r>
      <w:r>
        <w:rPr>
          <w:rFonts w:eastAsiaTheme="minorEastAsia"/>
        </w:rPr>
        <w:t>b</w:t>
      </w:r>
      <w:r w:rsidRPr="00312D1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 него.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Не реализовано: шаг (</w:t>
      </w:r>
      <w:r>
        <w:rPr>
          <w:rFonts w:eastAsiaTheme="minorEastAsia"/>
        </w:rPr>
        <w:t>step</w:t>
      </w:r>
      <w:r w:rsidRPr="00312D1A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– это непустое конечное мультимножество элементов связки. Наличие хотя бы одной связки обязательно для шага и самого понятия разрешенности.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образом, определения следующие: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Маркировка – это функция </w:t>
      </w:r>
      <w:r>
        <w:rPr>
          <w:rFonts w:eastAsiaTheme="minorEastAsia"/>
        </w:rPr>
        <w:t>M</w:t>
      </w:r>
      <w:r>
        <w:rPr>
          <w:rFonts w:eastAsiaTheme="minorEastAsia"/>
          <w:lang w:val="ru-RU"/>
        </w:rPr>
        <w:t xml:space="preserve">, сопоставляющая каждой позиции </w:t>
      </w:r>
      <m:oMath>
        <m:r>
          <w:rPr>
            <w:rFonts w:ascii="Cambria Math" w:eastAsiaTheme="minorEastAsia" w:hAnsi="Cambria Math"/>
            <w:lang w:val="ru-RU"/>
          </w:rPr>
          <m:t>p∈P</m:t>
        </m:r>
      </m:oMath>
      <w:r w:rsidRPr="00312D1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мультимножество токенов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определена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=I(p)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 xml:space="preserve"> </m:t>
            </m:r>
          </m:e>
        </m:d>
      </m:oMath>
      <w:r w:rsidRPr="00312D1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всех </w:t>
      </w:r>
      <m:oMath>
        <m:r>
          <w:rPr>
            <w:rFonts w:ascii="Cambria Math" w:eastAsiaTheme="minorEastAsia" w:hAnsi="Cambria Math"/>
            <w:lang w:val="ru-RU"/>
          </w:rPr>
          <m:t>p∈P</m:t>
        </m:r>
      </m:oMath>
      <w:r>
        <w:rPr>
          <w:rFonts w:eastAsiaTheme="minorEastAsia"/>
          <w:lang w:val="ru-RU"/>
        </w:rPr>
        <w:t xml:space="preserve"> (без связок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)</w:t>
      </w:r>
    </w:p>
    <w:p w:rsidR="00312D1A" w:rsidRDefault="00312D1A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Переменные перехода обозначаются как </w:t>
      </w:r>
      <m:oMath>
        <m:r>
          <w:rPr>
            <w:rFonts w:ascii="Cambria Math" w:eastAsiaTheme="minorEastAsia" w:hAnsi="Cambria Math"/>
            <w:lang w:val="ru-RU"/>
          </w:rPr>
          <m:t>Var(t)⊆V</m:t>
        </m:r>
      </m:oMath>
      <w:r>
        <w:rPr>
          <w:rFonts w:eastAsiaTheme="minorEastAsia"/>
          <w:lang w:val="ru-RU"/>
        </w:rPr>
        <w:t xml:space="preserve"> и состоят из переменных сторожевого условия и переменных из аннотаций входных дуг</w:t>
      </w:r>
    </w:p>
    <w:p w:rsidR="00312D1A" w:rsidRDefault="00E5530D" w:rsidP="000F77A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Связкой (</w:t>
      </w:r>
      <w:r>
        <w:rPr>
          <w:rFonts w:eastAsiaTheme="minorEastAsia"/>
        </w:rPr>
        <w:t>binding</w:t>
      </w:r>
      <w:r w:rsidRPr="00E5530D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перехода считается функция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, сопоставл</w:t>
      </w:r>
      <w:r w:rsidR="00592BEE">
        <w:rPr>
          <w:rFonts w:eastAsiaTheme="minorEastAsia"/>
          <w:lang w:val="ru-RU"/>
        </w:rPr>
        <w:t xml:space="preserve">яющая переменные </w:t>
      </w:r>
      <m:oMath>
        <m:r>
          <w:rPr>
            <w:rFonts w:ascii="Cambria Math" w:eastAsiaTheme="minorEastAsia" w:hAnsi="Cambria Math"/>
            <w:lang w:val="ru-RU"/>
          </w:rPr>
          <m:t>v∈Var(t)</m:t>
        </m:r>
      </m:oMath>
      <w:r w:rsidR="00592BEE">
        <w:rPr>
          <w:rFonts w:eastAsiaTheme="minorEastAsia"/>
          <w:lang w:val="ru-RU"/>
        </w:rPr>
        <w:t xml:space="preserve"> и значения </w:t>
      </w:r>
      <m:oMath>
        <m:r>
          <w:rPr>
            <w:rFonts w:ascii="Cambria Math" w:eastAsiaTheme="minorEastAsia" w:hAnsi="Cambria Math"/>
            <w:lang w:val="ru-RU"/>
          </w:rPr>
          <m:t>b(v)</m:t>
        </m:r>
      </m:oMath>
      <w:r w:rsidR="00592BEE">
        <w:rPr>
          <w:rFonts w:eastAsiaTheme="minorEastAsia"/>
          <w:lang w:val="ru-RU"/>
        </w:rPr>
        <w:t xml:space="preserve">. Множество связок для перехода </w:t>
      </w:r>
      <w:r w:rsidR="00592BEE">
        <w:rPr>
          <w:rFonts w:eastAsiaTheme="minorEastAsia"/>
        </w:rPr>
        <w:t xml:space="preserve">t </w:t>
      </w:r>
      <w:r w:rsidR="00592BEE">
        <w:rPr>
          <w:rFonts w:eastAsiaTheme="minorEastAsia"/>
          <w:lang w:val="ru-RU"/>
        </w:rPr>
        <w:t xml:space="preserve">обозначается как </w:t>
      </w:r>
      <m:oMath>
        <m:r>
          <w:rPr>
            <w:rFonts w:ascii="Cambria Math" w:eastAsiaTheme="minorEastAsia" w:hAnsi="Cambria Math"/>
            <w:lang w:val="ru-RU"/>
          </w:rPr>
          <m:t>B(t)</m:t>
        </m:r>
      </m:oMath>
    </w:p>
    <w:p w:rsidR="00F60E25" w:rsidRPr="00414AE2" w:rsidRDefault="00F60E25" w:rsidP="00F60E25">
      <w:pPr>
        <w:rPr>
          <w:rFonts w:eastAsiaTheme="minorEastAsia"/>
          <w:lang w:val="ru-RU"/>
        </w:rPr>
      </w:pPr>
      <w:r>
        <w:rPr>
          <w:lang w:val="ru-RU"/>
        </w:rPr>
        <w:t xml:space="preserve">Элемент связки – это пара </w:t>
      </w:r>
      <m:oMath>
        <m:r>
          <w:rPr>
            <w:rFonts w:ascii="Cambria Math" w:hAnsi="Cambria Math"/>
            <w:lang w:val="ru-RU"/>
          </w:rPr>
          <m:t>(t, b)</m:t>
        </m:r>
      </m:oMath>
      <w:r w:rsidRPr="00F60E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lang w:val="ru-RU"/>
          </w:rPr>
          <m:t>t∈T</m:t>
        </m:r>
      </m:oMath>
      <w:r w:rsidRPr="00F60E2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b∈B(t)</m:t>
        </m:r>
      </m:oMath>
      <w:r>
        <w:rPr>
          <w:rFonts w:eastAsiaTheme="minorEastAsia"/>
          <w:lang w:val="ru-RU"/>
        </w:rPr>
        <w:t xml:space="preserve">. Множество элементов связки обозначается как </w:t>
      </w:r>
      <w:r>
        <w:rPr>
          <w:rFonts w:eastAsiaTheme="minorEastAsia"/>
        </w:rPr>
        <w:t>BE</w:t>
      </w:r>
    </w:p>
    <w:p w:rsidR="00F60E25" w:rsidRDefault="00F60E25" w:rsidP="00F60E2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Шаг </w:t>
      </w:r>
      <m:oMath>
        <m:r>
          <w:rPr>
            <w:rFonts w:ascii="Cambria Math" w:eastAsiaTheme="minorEastAsia" w:hAnsi="Cambria Math"/>
            <w:lang w:val="ru-RU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MS</m:t>
            </m:r>
          </m:sub>
        </m:sSub>
      </m:oMath>
      <w:r w:rsidRPr="00F60E2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это непустое конечное мультимножество элементов связки.</w:t>
      </w:r>
    </w:p>
    <w:p w:rsidR="00F60E25" w:rsidRDefault="00F60E25" w:rsidP="00F60E25">
      <w:pPr>
        <w:rPr>
          <w:rFonts w:eastAsiaTheme="minorEastAsia"/>
          <w:lang w:val="ru-RU"/>
        </w:rPr>
      </w:pPr>
    </w:p>
    <w:p w:rsidR="00F60E25" w:rsidRDefault="009A5E6D" w:rsidP="00F60E2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Разрешение и срабатываение переходов основаны на вычислении сторожевых условий и аннотаций дуг.</w:t>
      </w:r>
    </w:p>
    <w:p w:rsidR="009A5E6D" w:rsidRDefault="009A5E6D" w:rsidP="00F60E2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Результат вычисления сторожевого условия </w:t>
      </w:r>
      <m:oMath>
        <m:r>
          <w:rPr>
            <w:rFonts w:ascii="Cambria Math" w:eastAsiaTheme="minorEastAsia" w:hAnsi="Cambria Math"/>
            <w:lang w:val="ru-RU"/>
          </w:rPr>
          <m:t>G(t)</m:t>
        </m:r>
      </m:oMath>
      <w:r w:rsidRPr="009A5E6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элемента связки </w:t>
      </w:r>
      <m:oMath>
        <m:r>
          <w:rPr>
            <w:rFonts w:ascii="Cambria Math" w:eastAsiaTheme="minorEastAsia" w:hAnsi="Cambria Math"/>
            <w:lang w:val="ru-RU"/>
          </w:rPr>
          <m:t>(t, b)</m:t>
        </m:r>
      </m:oMath>
      <w:r>
        <w:rPr>
          <w:rFonts w:eastAsiaTheme="minorEastAsia"/>
          <w:lang w:val="ru-RU"/>
        </w:rPr>
        <w:t xml:space="preserve"> обозначается как </w:t>
      </w:r>
      <m:oMath>
        <m:r>
          <w:rPr>
            <w:rFonts w:ascii="Cambria Math" w:eastAsiaTheme="minorEastAsia" w:hAnsi="Cambria Math"/>
            <w:lang w:val="ru-RU"/>
          </w:rPr>
          <m:t>G(t)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</m:d>
      </m:oMath>
      <w:r>
        <w:rPr>
          <w:rFonts w:eastAsiaTheme="minorEastAsia"/>
          <w:lang w:val="ru-RU"/>
        </w:rPr>
        <w:t>.</w:t>
      </w:r>
    </w:p>
    <w:p w:rsidR="009A5E6D" w:rsidRDefault="009A5E6D" w:rsidP="00F60E2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Аналогично, результат вычисления аннотации </w:t>
      </w:r>
      <m:oMath>
        <m:r>
          <w:rPr>
            <w:rFonts w:ascii="Cambria Math" w:eastAsiaTheme="minorEastAsia" w:hAnsi="Cambria Math"/>
            <w:lang w:val="ru-RU"/>
          </w:rPr>
          <m:t>E(a)</m:t>
        </m:r>
      </m:oMath>
      <w:r>
        <w:rPr>
          <w:rFonts w:eastAsiaTheme="minorEastAsia"/>
          <w:lang w:val="ru-RU"/>
        </w:rPr>
        <w:t xml:space="preserve"> обозначается как </w:t>
      </w:r>
      <m:oMath>
        <m:r>
          <w:rPr>
            <w:rFonts w:ascii="Cambria Math" w:eastAsiaTheme="minorEastAsia" w:hAnsi="Cambria Math"/>
            <w:lang w:val="ru-RU"/>
          </w:rPr>
          <m:t>E(a)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</m:d>
      </m:oMath>
    </w:p>
    <w:p w:rsidR="00A73AAD" w:rsidRDefault="00A73AAD" w:rsidP="00F60E2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позиции </w:t>
      </w:r>
      <w:r>
        <w:rPr>
          <w:rFonts w:eastAsiaTheme="minorEastAsia"/>
        </w:rPr>
        <w:t>p</w:t>
      </w:r>
      <w:r>
        <w:rPr>
          <w:rFonts w:eastAsiaTheme="minorEastAsia"/>
          <w:lang w:val="ru-RU"/>
        </w:rPr>
        <w:t xml:space="preserve"> обозначение </w:t>
      </w:r>
      <m:oMath>
        <m:r>
          <w:rPr>
            <w:rFonts w:ascii="Cambria Math" w:eastAsiaTheme="minorEastAsia" w:hAnsi="Cambria Math"/>
            <w:lang w:val="ru-RU"/>
          </w:rPr>
          <m:t>E(p,t)</m:t>
        </m:r>
      </m:oMath>
      <w:r>
        <w:rPr>
          <w:rFonts w:eastAsiaTheme="minorEastAsia"/>
          <w:lang w:val="ru-RU"/>
        </w:rPr>
        <w:t xml:space="preserve"> указывает на аннотацию входной дуги из </w:t>
      </w:r>
      <w:r>
        <w:rPr>
          <w:rFonts w:eastAsiaTheme="minorEastAsia"/>
        </w:rPr>
        <w:t>p</w:t>
      </w:r>
      <w:r>
        <w:rPr>
          <w:rFonts w:eastAsiaTheme="minorEastAsia"/>
          <w:lang w:val="ru-RU"/>
        </w:rPr>
        <w:t xml:space="preserve"> в </w:t>
      </w:r>
      <w:r>
        <w:rPr>
          <w:rFonts w:eastAsiaTheme="minorEastAsia"/>
        </w:rPr>
        <w:t>t</w:t>
      </w:r>
      <w:r>
        <w:rPr>
          <w:rFonts w:eastAsiaTheme="minorEastAsia"/>
          <w:lang w:val="ru-RU"/>
        </w:rPr>
        <w:t xml:space="preserve"> (несправедливо при наличии параллельных дуг). Аналогично с </w:t>
      </w:r>
      <m:oMath>
        <m:r>
          <w:rPr>
            <w:rFonts w:ascii="Cambria Math" w:eastAsiaTheme="minorEastAsia" w:hAnsi="Cambria Math"/>
            <w:lang w:val="ru-RU"/>
          </w:rPr>
          <m:t>E(t,p)</m:t>
        </m:r>
      </m:oMath>
    </w:p>
    <w:p w:rsidR="00414AE2" w:rsidRDefault="00414AE2" w:rsidP="00F60E2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Чтобы элемент связки был разрешенным, необходимо соблюдение двух условий. Во-первых, сторожевое условие должно быть удовлетворено: </w:t>
      </w:r>
    </w:p>
    <w:p w:rsidR="00414AE2" w:rsidRPr="00414AE2" w:rsidRDefault="00414AE2" w:rsidP="00F60E25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=true</m:t>
          </m:r>
        </m:oMath>
      </m:oMathPara>
    </w:p>
    <w:p w:rsidR="00414AE2" w:rsidRDefault="00414AE2" w:rsidP="00414AE2">
      <w:pPr>
        <w:rPr>
          <w:lang w:val="ru-RU"/>
        </w:rPr>
      </w:pPr>
      <w:r>
        <w:rPr>
          <w:lang w:val="ru-RU"/>
        </w:rPr>
        <w:t>Во-вторых, во входных позициях перехода должно быть достаточное количество токенов</w:t>
      </w:r>
      <w:r w:rsidR="0062434F">
        <w:rPr>
          <w:lang w:val="ru-RU"/>
        </w:rPr>
        <w:t>:</w:t>
      </w:r>
    </w:p>
    <w:p w:rsidR="0062434F" w:rsidRDefault="0062434F" w:rsidP="00414AE2">
      <w:pPr>
        <w:rPr>
          <w:rFonts w:eastAsiaTheme="minorEastAsia"/>
          <w:lang w:val="ru-RU"/>
        </w:rPr>
      </w:pPr>
      <w:r>
        <w:rPr>
          <w:lang w:val="ru-RU"/>
        </w:rPr>
        <w:t xml:space="preserve">Пусть </w:t>
      </w:r>
      <m:oMath>
        <m:r>
          <w:rPr>
            <w:rFonts w:ascii="Cambria Math" w:hAnsi="Cambria Math"/>
            <w:lang w:val="ru-RU"/>
          </w:rPr>
          <m:t>(p, t)</m:t>
        </m:r>
      </m:oMath>
      <w:r w:rsidRPr="0062434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это входная дуга. Тогда вычисление терма </w:t>
      </w:r>
      <m:oMath>
        <m:r>
          <w:rPr>
            <w:rFonts w:ascii="Cambria Math" w:eastAsiaTheme="minorEastAsia" w:hAnsi="Cambria Math"/>
            <w:lang w:val="ru-RU"/>
          </w:rPr>
          <m:t>E(p,t)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</m:d>
      </m:oMath>
      <w:r>
        <w:rPr>
          <w:rFonts w:eastAsiaTheme="minorEastAsia"/>
          <w:lang w:val="ru-RU"/>
        </w:rPr>
        <w:t xml:space="preserve"> определяет мультимножество требуемых токенов из </w:t>
      </w:r>
      <w:r>
        <w:rPr>
          <w:rFonts w:eastAsiaTheme="minorEastAsia"/>
        </w:rPr>
        <w:t>p</w:t>
      </w:r>
      <w:r>
        <w:rPr>
          <w:rFonts w:eastAsiaTheme="minorEastAsia"/>
          <w:lang w:val="ru-RU"/>
        </w:rPr>
        <w:t xml:space="preserve">, извлекаемых из этой </w:t>
      </w:r>
      <w:r>
        <w:rPr>
          <w:rFonts w:eastAsiaTheme="minorEastAsia"/>
          <w:lang w:val="ru-RU"/>
        </w:rPr>
        <w:lastRenderedPageBreak/>
        <w:t>позиции при срабатывании перехода. Т.е. для каждой входной позиции справедливо:</w:t>
      </w:r>
    </w:p>
    <w:p w:rsidR="0062434F" w:rsidRPr="00B10380" w:rsidRDefault="0062434F" w:rsidP="00414AE2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≪=M(p)</m:t>
          </m:r>
        </m:oMath>
      </m:oMathPara>
    </w:p>
    <w:p w:rsidR="00B10380" w:rsidRDefault="008F5E0B" w:rsidP="008F5E0B">
      <w:pPr>
        <w:rPr>
          <w:rFonts w:eastAsiaTheme="minorEastAsia"/>
          <w:lang w:val="ru-RU"/>
        </w:rPr>
      </w:pPr>
      <w:r>
        <w:rPr>
          <w:lang w:val="ru-RU"/>
        </w:rPr>
        <w:t xml:space="preserve">Новая маркировка </w:t>
      </w:r>
      <w:r>
        <w:t>M</w:t>
      </w:r>
      <w:r w:rsidRPr="008F5E0B">
        <w:rPr>
          <w:lang w:val="ru-RU"/>
        </w:rPr>
        <w:t xml:space="preserve">` </w:t>
      </w:r>
      <w:r>
        <w:rPr>
          <w:lang w:val="ru-RU"/>
        </w:rPr>
        <w:t xml:space="preserve">получается из текущей маркировки </w:t>
      </w:r>
      <w:r>
        <w:t>M</w:t>
      </w:r>
      <w:r w:rsidRPr="008F5E0B">
        <w:rPr>
          <w:lang w:val="ru-RU"/>
        </w:rPr>
        <w:t xml:space="preserve"> </w:t>
      </w:r>
      <w:r>
        <w:rPr>
          <w:lang w:val="ru-RU"/>
        </w:rPr>
        <w:t xml:space="preserve">при срабатывании перехода с некоторым элементом связки </w:t>
      </w:r>
      <m:oMath>
        <m:r>
          <w:rPr>
            <w:rFonts w:ascii="Cambria Math" w:hAnsi="Cambria Math"/>
            <w:lang w:val="ru-RU"/>
          </w:rPr>
          <m:t>(t,b)</m:t>
        </m:r>
      </m:oMath>
      <w:r>
        <w:rPr>
          <w:rFonts w:eastAsiaTheme="minorEastAsia"/>
          <w:lang w:val="ru-RU"/>
        </w:rPr>
        <w:t>:</w:t>
      </w:r>
    </w:p>
    <w:p w:rsidR="008F5E0B" w:rsidRDefault="008F5E0B" w:rsidP="008F5E0B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`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M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--</m:t>
        </m:r>
        <m:r>
          <w:rPr>
            <w:rFonts w:ascii="Cambria Math" w:hAnsi="Cambria Math"/>
            <w:lang w:val="ru-RU"/>
          </w:rPr>
          <m:t>E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lang w:val="ru-RU"/>
          </w:rPr>
          <m:t>++</m:t>
        </m:r>
        <m:r>
          <w:rPr>
            <w:rFonts w:ascii="Cambria Math" w:hAnsi="Cambria Math"/>
            <w:lang w:val="ru-RU"/>
          </w:rPr>
          <m:t>E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p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  <m:d>
          <m:dPr>
            <m:begChr m:val="〈"/>
            <m:endChr m:val="〉"/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</m:oMath>
      <w:r>
        <w:rPr>
          <w:rFonts w:eastAsiaTheme="minorEastAsia"/>
          <w:lang w:val="ru-RU"/>
        </w:rPr>
        <w:t xml:space="preserve"> для всех </w:t>
      </w:r>
      <m:oMath>
        <m:r>
          <w:rPr>
            <w:rFonts w:ascii="Cambria Math" w:eastAsiaTheme="minorEastAsia" w:hAnsi="Cambria Math"/>
            <w:lang w:val="ru-RU"/>
          </w:rPr>
          <m:t>p∈P</m:t>
        </m:r>
      </m:oMath>
    </w:p>
    <w:p w:rsidR="008F5E0B" w:rsidRDefault="005F10E9" w:rsidP="008F5E0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образом, определения следующие:</w:t>
      </w:r>
    </w:p>
    <w:p w:rsidR="00F6687E" w:rsidRPr="00F6687E" w:rsidRDefault="00F6687E" w:rsidP="008F5E0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Элемент связки разрешен, если справедливо</w:t>
      </w:r>
    </w:p>
    <w:p w:rsidR="005F10E9" w:rsidRPr="005F10E9" w:rsidRDefault="005F10E9" w:rsidP="008F5E0B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d>
        </m:oMath>
      </m:oMathPara>
    </w:p>
    <w:p w:rsidR="005F10E9" w:rsidRPr="00F6687E" w:rsidRDefault="005F10E9" w:rsidP="008F5E0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∀p∈P:E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≪=M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</m:d>
        </m:oMath>
      </m:oMathPara>
    </w:p>
    <w:p w:rsidR="00F6687E" w:rsidRPr="005F10E9" w:rsidRDefault="00F6687E" w:rsidP="008F5E0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Результирующая маркировка при срабатывании перехода определяется следующим образом</w:t>
      </w:r>
    </w:p>
    <w:p w:rsidR="005F10E9" w:rsidRPr="005F10E9" w:rsidRDefault="005F10E9" w:rsidP="008F5E0B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∀p∈P: </m:t>
          </m:r>
          <m:r>
            <w:rPr>
              <w:rFonts w:ascii="Cambria Math" w:hAnsi="Cambria Math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`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=(</m:t>
          </m:r>
          <m:r>
            <w:rPr>
              <w:rFonts w:ascii="Cambria Math" w:hAnsi="Cambria Math"/>
              <w:lang w:val="ru-RU"/>
            </w:rPr>
            <m:t>M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--</m:t>
          </m:r>
          <m:r>
            <w:rPr>
              <w:rFonts w:ascii="Cambria Math" w:hAnsi="Cambria Math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++</m:t>
          </m:r>
          <m:r>
            <w:rPr>
              <w:rFonts w:ascii="Cambria Math" w:hAnsi="Cambria Math"/>
              <w:lang w:val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ru-RU"/>
            </w:rPr>
            <m:t>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>p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d>
        </m:oMath>
      </m:oMathPara>
    </w:p>
    <w:p w:rsidR="00A73AAD" w:rsidRDefault="00F24980" w:rsidP="00B833B7">
      <w:pPr>
        <w:rPr>
          <w:lang w:val="ru-RU"/>
        </w:rPr>
      </w:pPr>
      <w:r>
        <w:rPr>
          <w:lang w:val="ru-RU"/>
        </w:rP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</w:p>
    <w:p w:rsidR="00F24980" w:rsidRDefault="000F3CC6" w:rsidP="00B833B7">
      <w:pPr>
        <w:rPr>
          <w:rFonts w:eastAsiaTheme="minorEastAsia"/>
          <w:lang w:val="ru-RU"/>
        </w:rPr>
      </w:pPr>
      <w:r>
        <w:rPr>
          <w:lang w:val="ru-RU"/>
        </w:rPr>
        <w:t xml:space="preserve">Каждый элемент связки </w:t>
      </w:r>
      <m:oMath>
        <m:r>
          <w:rPr>
            <w:rFonts w:ascii="Cambria Math" w:hAnsi="Cambria Math"/>
            <w:lang w:val="ru-RU"/>
          </w:rPr>
          <m:t>(t,b)</m:t>
        </m:r>
      </m:oMath>
      <w:r>
        <w:rPr>
          <w:rFonts w:eastAsiaTheme="minorEastAsia"/>
          <w:lang w:val="ru-RU"/>
        </w:rPr>
        <w:t xml:space="preserve"> для шага </w:t>
      </w:r>
      <w:r>
        <w:rPr>
          <w:rFonts w:eastAsiaTheme="minorEastAsia"/>
        </w:rPr>
        <w:t>Y</w:t>
      </w:r>
      <w:r w:rsidRPr="000F3CC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должен удовлетворять сторожевому условию перехода </w:t>
      </w:r>
      <w:r>
        <w:rPr>
          <w:rFonts w:eastAsiaTheme="minorEastAsia"/>
        </w:rPr>
        <w:t>t</w:t>
      </w:r>
      <w:r>
        <w:rPr>
          <w:rFonts w:eastAsiaTheme="minorEastAsia"/>
          <w:lang w:val="ru-RU"/>
        </w:rPr>
        <w:t>. Кроме того, элементы связки должны иметь возможность извлекать приватизированные токены из позиций, не разделяя их с остальными элементами связки.</w:t>
      </w:r>
    </w:p>
    <w:p w:rsidR="000F3CC6" w:rsidRDefault="000F3CC6" w:rsidP="00B833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Поэтому каждая позиция должна иметь маркировку, мультимножество токенов, большим или равным сумме извлекаемых из </w:t>
      </w:r>
      <w:r>
        <w:rPr>
          <w:rFonts w:eastAsiaTheme="minorEastAsia"/>
        </w:rPr>
        <w:t>p</w:t>
      </w:r>
      <w:r w:rsidRPr="000F3CC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токенов элементами связки для шага </w:t>
      </w:r>
      <w:r>
        <w:rPr>
          <w:rFonts w:eastAsiaTheme="minorEastAsia"/>
        </w:rPr>
        <w:t>Y</w:t>
      </w:r>
      <w:r>
        <w:rPr>
          <w:rFonts w:eastAsiaTheme="minorEastAsia"/>
          <w:lang w:val="ru-RU"/>
        </w:rPr>
        <w:t>:</w:t>
      </w:r>
    </w:p>
    <w:p w:rsidR="000F3CC6" w:rsidRPr="004A7602" w:rsidRDefault="000F3CC6" w:rsidP="00B833B7">
      <w:pPr>
        <w:rPr>
          <w:rFonts w:eastAsiaTheme="minorEastAsia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∈</m:t>
              </m:r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e>
          </m:nary>
        </m:oMath>
      </m:oMathPara>
    </w:p>
    <w:p w:rsidR="004A7602" w:rsidRDefault="004A7602" w:rsidP="00B833B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Здесь считается мультимножество элементов связки, получается количество вхождений каждого элемента связки</w:t>
      </w:r>
    </w:p>
    <w:p w:rsidR="009D5455" w:rsidRDefault="009D5455" w:rsidP="009D545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При срабатывании шага </w:t>
      </w:r>
      <w:r>
        <w:rPr>
          <w:rFonts w:eastAsiaTheme="minorEastAsia"/>
        </w:rPr>
        <w:t>Y</w:t>
      </w:r>
      <w:r>
        <w:rPr>
          <w:rFonts w:eastAsiaTheme="minorEastAsia"/>
          <w:lang w:val="ru-RU"/>
        </w:rPr>
        <w:t xml:space="preserve"> их позиции </w:t>
      </w:r>
      <w:r>
        <w:rPr>
          <w:rFonts w:eastAsiaTheme="minorEastAsia"/>
        </w:rPr>
        <w:t>p</w:t>
      </w:r>
      <w:r w:rsidRPr="009D545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будут удалены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  <w:lang w:val="ru-RU"/>
              </w:rPr>
              <m:t>E(p,t)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e>
            </m:d>
          </m:e>
        </m:nary>
      </m:oMath>
      <w:r w:rsidR="008A4808">
        <w:rPr>
          <w:rFonts w:eastAsiaTheme="minorEastAsia"/>
          <w:lang w:val="ru-RU"/>
        </w:rPr>
        <w:t xml:space="preserve"> токены и добавлены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  <w:lang w:val="ru-RU"/>
              </w:rPr>
              <m:t>E(</m:t>
            </m:r>
            <m:r>
              <w:rPr>
                <w:rFonts w:ascii="Cambria Math" w:eastAsiaTheme="minorEastAsia" w:hAnsi="Cambria Math"/>
                <w:lang w:val="ru-RU"/>
              </w:rPr>
              <m:t>t,p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e>
            </m:d>
          </m:e>
        </m:nary>
      </m:oMath>
      <w:r w:rsidR="008A4808">
        <w:rPr>
          <w:rFonts w:eastAsiaTheme="minorEastAsia"/>
          <w:lang w:val="ru-RU"/>
        </w:rPr>
        <w:t xml:space="preserve"> токены</w:t>
      </w:r>
    </w:p>
    <w:p w:rsidR="009D5455" w:rsidRDefault="008A4808" w:rsidP="008A480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новая маркировка </w:t>
      </w:r>
      <w:r>
        <w:rPr>
          <w:rFonts w:eastAsiaTheme="minorEastAsia"/>
        </w:rPr>
        <w:t>M</w:t>
      </w:r>
      <w:r w:rsidRPr="008A4808">
        <w:rPr>
          <w:rFonts w:eastAsiaTheme="minorEastAsia"/>
          <w:lang w:val="ru-RU"/>
        </w:rPr>
        <w:t xml:space="preserve">` </w:t>
      </w:r>
      <w:r>
        <w:rPr>
          <w:rFonts w:eastAsiaTheme="minorEastAsia"/>
          <w:lang w:val="ru-RU"/>
        </w:rPr>
        <w:t xml:space="preserve">при срабатывании шага </w:t>
      </w:r>
      <w:r>
        <w:rPr>
          <w:rFonts w:eastAsiaTheme="minorEastAsia"/>
        </w:rPr>
        <w:t>Y</w:t>
      </w:r>
      <w:r>
        <w:rPr>
          <w:rFonts w:eastAsiaTheme="minorEastAsia"/>
          <w:lang w:val="ru-RU"/>
        </w:rPr>
        <w:t xml:space="preserve"> получается:</w:t>
      </w:r>
    </w:p>
    <w:p w:rsidR="008A4808" w:rsidRPr="008A4808" w:rsidRDefault="008A4808" w:rsidP="008A4808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`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=(</m:t>
          </m:r>
          <m:r>
            <w:rPr>
              <w:rFonts w:ascii="Cambria Math" w:hAnsi="Cambria Math"/>
              <w:lang w:val="ru-RU"/>
            </w:rPr>
            <m:t>M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ru-RU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</m:d>
            </m:e>
          </m:nary>
        </m:oMath>
      </m:oMathPara>
    </w:p>
    <w:p w:rsidR="008A4808" w:rsidRDefault="00473A50" w:rsidP="008A480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образом, определения для разрешенности и срабатывания шагов:</w:t>
      </w:r>
    </w:p>
    <w:p w:rsidR="00473A50" w:rsidRDefault="00473A50" w:rsidP="008A480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Шаг </w:t>
      </w:r>
      <m:oMath>
        <m:r>
          <w:rPr>
            <w:rFonts w:ascii="Cambria Math" w:eastAsiaTheme="minorEastAsia" w:hAnsi="Cambria Math"/>
            <w:lang w:val="ru-RU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MS</m:t>
            </m:r>
          </m:sub>
        </m:sSub>
      </m:oMath>
      <w:r>
        <w:rPr>
          <w:rFonts w:eastAsiaTheme="minorEastAsia"/>
          <w:lang w:val="ru-RU"/>
        </w:rPr>
        <w:t xml:space="preserve"> разрешен, если справедливо:</w:t>
      </w:r>
    </w:p>
    <w:p w:rsidR="00473A50" w:rsidRPr="00473A50" w:rsidRDefault="00473A50" w:rsidP="008A4808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t,b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</m:d>
        </m:oMath>
      </m:oMathPara>
    </w:p>
    <w:p w:rsidR="00473A50" w:rsidRPr="004A7602" w:rsidRDefault="00473A50" w:rsidP="00473A50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∈</m:t>
              </m:r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e>
          </m:nary>
        </m:oMath>
      </m:oMathPara>
    </w:p>
    <w:p w:rsidR="00473A50" w:rsidRDefault="00473A50" w:rsidP="00473A50">
      <w:pPr>
        <w:rPr>
          <w:lang w:val="ru-RU"/>
        </w:rPr>
      </w:pPr>
      <w:r>
        <w:rPr>
          <w:lang w:val="ru-RU"/>
        </w:rPr>
        <w:t xml:space="preserve">Когда шаг разрешен, его срабатывание порождает новую маркировку </w:t>
      </w:r>
      <w:r>
        <w:t>M</w:t>
      </w:r>
      <w:r w:rsidRPr="00473A50">
        <w:rPr>
          <w:lang w:val="ru-RU"/>
        </w:rPr>
        <w:t>`</w:t>
      </w:r>
      <w:r>
        <w:rPr>
          <w:lang w:val="ru-RU"/>
        </w:rPr>
        <w:t>:</w:t>
      </w:r>
    </w:p>
    <w:p w:rsidR="00473A50" w:rsidRPr="00750284" w:rsidRDefault="00473A50" w:rsidP="00473A50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∀p∈P: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`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=(</m:t>
          </m:r>
          <m:r>
            <w:rPr>
              <w:rFonts w:ascii="Cambria Math" w:hAnsi="Cambria Math"/>
              <w:lang w:val="ru-RU"/>
            </w:rPr>
            <m:t>M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ru-RU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  <w:lang w:val="ru-RU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</m:d>
            </m:e>
          </m:nary>
        </m:oMath>
      </m:oMathPara>
    </w:p>
    <w:p w:rsidR="00750284" w:rsidRDefault="00FD5773" w:rsidP="00473A5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</w:p>
    <w:p w:rsidR="00C50253" w:rsidRDefault="00C50253" w:rsidP="00473A5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Понятия модулей</w:t>
      </w:r>
      <w:r w:rsidRPr="00732F44">
        <w:rPr>
          <w:rFonts w:eastAsiaTheme="minorEastAsia"/>
          <w:highlight w:val="yellow"/>
          <w:lang w:val="ru-RU"/>
        </w:rPr>
        <w:t>...</w:t>
      </w:r>
    </w:p>
    <w:p w:rsidR="00732F44" w:rsidRPr="00732F44" w:rsidRDefault="00732F44" w:rsidP="00732F44">
      <w:pPr>
        <w:rPr>
          <w:rFonts w:eastAsiaTheme="minorEastAsia"/>
          <w:lang w:val="ru-RU"/>
        </w:rPr>
      </w:pPr>
      <w:r>
        <w:rPr>
          <w:lang w:val="ru-RU"/>
        </w:rPr>
        <w:t>Сокеты, порты, композиция модулей</w:t>
      </w:r>
    </w:p>
    <w:p w:rsidR="00732F44" w:rsidRPr="00732F44" w:rsidRDefault="00732F44" w:rsidP="00732F44">
      <w:pPr>
        <w:rPr>
          <w:rFonts w:eastAsiaTheme="minorEastAsia"/>
          <w:lang w:val="ru-RU"/>
        </w:rPr>
      </w:pPr>
      <w:bookmarkStart w:id="0" w:name="_GoBack"/>
      <w:bookmarkEnd w:id="0"/>
    </w:p>
    <w:sectPr w:rsidR="00732F44" w:rsidRPr="0073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6"/>
    <w:rsid w:val="00013675"/>
    <w:rsid w:val="000F3CC6"/>
    <w:rsid w:val="000F77A7"/>
    <w:rsid w:val="002361F1"/>
    <w:rsid w:val="00311917"/>
    <w:rsid w:val="00312D1A"/>
    <w:rsid w:val="00414AE2"/>
    <w:rsid w:val="00473A50"/>
    <w:rsid w:val="004A7602"/>
    <w:rsid w:val="00503E20"/>
    <w:rsid w:val="00592BEE"/>
    <w:rsid w:val="005F10E9"/>
    <w:rsid w:val="006241B2"/>
    <w:rsid w:val="0062434F"/>
    <w:rsid w:val="00652385"/>
    <w:rsid w:val="006E2A66"/>
    <w:rsid w:val="00713A91"/>
    <w:rsid w:val="00732F44"/>
    <w:rsid w:val="00750284"/>
    <w:rsid w:val="00791D94"/>
    <w:rsid w:val="007D4D4B"/>
    <w:rsid w:val="00845BAC"/>
    <w:rsid w:val="00850225"/>
    <w:rsid w:val="008A4808"/>
    <w:rsid w:val="008B1ED5"/>
    <w:rsid w:val="008F5E0B"/>
    <w:rsid w:val="009605FF"/>
    <w:rsid w:val="009A5E6D"/>
    <w:rsid w:val="009C5D8D"/>
    <w:rsid w:val="009D5455"/>
    <w:rsid w:val="00A376F6"/>
    <w:rsid w:val="00A73AAD"/>
    <w:rsid w:val="00A8040A"/>
    <w:rsid w:val="00AA3ED6"/>
    <w:rsid w:val="00B10380"/>
    <w:rsid w:val="00B57A55"/>
    <w:rsid w:val="00B833B7"/>
    <w:rsid w:val="00BB12AB"/>
    <w:rsid w:val="00C50253"/>
    <w:rsid w:val="00D95046"/>
    <w:rsid w:val="00E01AD2"/>
    <w:rsid w:val="00E5530D"/>
    <w:rsid w:val="00E63D7E"/>
    <w:rsid w:val="00E84C4C"/>
    <w:rsid w:val="00F24980"/>
    <w:rsid w:val="00F34402"/>
    <w:rsid w:val="00F60E25"/>
    <w:rsid w:val="00F6687E"/>
    <w:rsid w:val="00FD5773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C091"/>
  <w15:chartTrackingRefBased/>
  <w15:docId w15:val="{8EA701DC-5118-4BD2-9176-6545A7B2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5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8E31-E393-4ADA-94B8-C3DA5B1F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39</cp:revision>
  <dcterms:created xsi:type="dcterms:W3CDTF">2021-05-07T12:13:00Z</dcterms:created>
  <dcterms:modified xsi:type="dcterms:W3CDTF">2021-05-08T14:20:00Z</dcterms:modified>
</cp:coreProperties>
</file>