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Pr="00BE6E1C" w:rsidRDefault="006B373A" w:rsidP="00EE1983">
      <w:pPr>
        <w:ind w:left="709" w:firstLine="0"/>
        <w:jc w:val="center"/>
        <w:rPr>
          <w:b/>
        </w:rPr>
      </w:pPr>
      <w:r w:rsidRPr="006B373A">
        <w:rPr>
          <w:b/>
        </w:rPr>
        <w:t>ONTONET: ИНСТРУМЕНТАЛЬН</w:t>
      </w:r>
      <w:r w:rsidR="00C26AB8">
        <w:rPr>
          <w:b/>
        </w:rPr>
        <w:t xml:space="preserve">ЫЕ СРЕДСТВА ДЛЯ МОДЕЛИРОВАНИЯ С ИСПОЛЬЗОВАНИЕМ ТЕХНОЛОГИЙ СЕМАНТИЧЕСКОГО </w:t>
      </w:r>
      <w:r w:rsidR="00C26AB8">
        <w:rPr>
          <w:b/>
          <w:lang w:val="en-US"/>
        </w:rPr>
        <w:t>WEB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>В. Ю. Каев, В. Н. Дубинин</w:t>
      </w:r>
    </w:p>
    <w:p w:rsidR="00EE1983" w:rsidRDefault="00EE1983" w:rsidP="00EE1983"/>
    <w:p w:rsidR="00EE1983" w:rsidRPr="006B373A" w:rsidRDefault="00EE1983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  <w:lang w:val="en-US"/>
        </w:rPr>
        <w:t xml:space="preserve">ONTONET: </w:t>
      </w:r>
      <w:r w:rsidRPr="00A12673">
        <w:rPr>
          <w:b/>
          <w:lang w:val="en-US"/>
        </w:rPr>
        <w:t>MODELING TOOLS USING SEMANTIC WEB TECHNOLOGIES</w:t>
      </w:r>
    </w:p>
    <w:p w:rsidR="00EE1983" w:rsidRPr="00BE6E1C" w:rsidRDefault="00EE1983" w:rsidP="00EE1983">
      <w:pPr>
        <w:jc w:val="center"/>
        <w:rPr>
          <w:b/>
          <w:i/>
          <w:lang w:val="en-US"/>
        </w:rPr>
      </w:pPr>
      <w:r w:rsidRPr="00BE6E1C">
        <w:rPr>
          <w:b/>
          <w:i/>
          <w:lang w:val="en-US"/>
        </w:rPr>
        <w:t xml:space="preserve">V. I. </w:t>
      </w:r>
      <w:proofErr w:type="spellStart"/>
      <w:r w:rsidRPr="00BE6E1C">
        <w:rPr>
          <w:b/>
          <w:i/>
          <w:lang w:val="en-US"/>
        </w:rPr>
        <w:t>Kaev</w:t>
      </w:r>
      <w:proofErr w:type="spellEnd"/>
      <w:r w:rsidRPr="00BE6E1C">
        <w:rPr>
          <w:b/>
          <w:i/>
          <w:lang w:val="en-US"/>
        </w:rPr>
        <w:t xml:space="preserve">, V. N. </w:t>
      </w:r>
      <w:proofErr w:type="spellStart"/>
      <w:r w:rsidRPr="00BE6E1C">
        <w:rPr>
          <w:b/>
          <w:i/>
          <w:lang w:val="en-US"/>
        </w:rPr>
        <w:t>Dubinin</w:t>
      </w:r>
      <w:proofErr w:type="spellEnd"/>
    </w:p>
    <w:p w:rsidR="00EE1983" w:rsidRPr="00EE1983" w:rsidRDefault="00EE1983" w:rsidP="00EE1983">
      <w:pPr>
        <w:rPr>
          <w:lang w:val="en-US"/>
        </w:rPr>
      </w:pPr>
    </w:p>
    <w:p w:rsidR="00542B21" w:rsidRPr="00C26AB8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>В данной работе предлагается метод для проектирования и моделирования</w:t>
      </w:r>
      <w:r w:rsidR="001F3465" w:rsidRPr="001F3465">
        <w:t xml:space="preserve"> </w:t>
      </w:r>
      <w:r w:rsidR="001F3465">
        <w:t>систем</w:t>
      </w:r>
      <w:r w:rsidR="00585543">
        <w:t xml:space="preserve"> с использованием </w:t>
      </w:r>
      <w:r w:rsidR="00C26AB8">
        <w:t xml:space="preserve">раскрашенных сетей Петри на основе онтологий и языка </w:t>
      </w:r>
      <w:r w:rsidR="00C26AB8">
        <w:rPr>
          <w:lang w:val="en-US"/>
        </w:rPr>
        <w:t>SPARQL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 xml:space="preserve">для интерпретации </w:t>
      </w:r>
      <w:r w:rsidR="00C26AB8">
        <w:t xml:space="preserve">распределенных </w:t>
      </w:r>
      <w:r w:rsidR="00222294" w:rsidRPr="00542B21">
        <w:t>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 w:rsidRPr="00C26AB8">
        <w:rPr>
          <w:i/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 xml:space="preserve">выявления комбинаций разрешенных переходов и </w:t>
      </w:r>
      <w:r w:rsidR="00E07218">
        <w:t xml:space="preserve">их </w:t>
      </w:r>
      <w:r w:rsidR="0091122B">
        <w:t xml:space="preserve">непосредственного </w:t>
      </w:r>
      <w:r w:rsidR="00E07218">
        <w:t>выполнения</w:t>
      </w:r>
      <w:r w:rsidR="0091122B">
        <w:t>.</w:t>
      </w:r>
      <w:r w:rsidR="00E07218"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E07218">
        <w:t xml:space="preserve">Данный подход развивает идеи построения сервис-ориентированных приложений, актуализируя </w:t>
      </w:r>
      <w:r w:rsidR="00C26AB8">
        <w:t xml:space="preserve">их в рамках концепции </w:t>
      </w:r>
      <w:r w:rsidR="00C26AB8" w:rsidRPr="00C26AB8">
        <w:rPr>
          <w:i/>
          <w:lang w:val="en-US"/>
        </w:rPr>
        <w:t>Web</w:t>
      </w:r>
      <w:r w:rsidR="00C26AB8" w:rsidRPr="00C26AB8">
        <w:t xml:space="preserve"> 3.0.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</w:t>
      </w:r>
      <w:r w:rsidR="002F08DD">
        <w:t xml:space="preserve">семантика, </w:t>
      </w:r>
      <w:r w:rsidR="002F08DD">
        <w:rPr>
          <w:i/>
          <w:lang w:val="en-US"/>
        </w:rPr>
        <w:t>W</w:t>
      </w:r>
      <w:r w:rsidR="002F08DD" w:rsidRPr="002F08DD">
        <w:rPr>
          <w:i/>
          <w:lang w:val="en-US"/>
        </w:rPr>
        <w:t>eb</w:t>
      </w:r>
      <w:r w:rsidRPr="00542B21">
        <w:t xml:space="preserve">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lastRenderedPageBreak/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</w:t>
      </w:r>
      <w:r w:rsidR="001F3465">
        <w:rPr>
          <w:color w:val="000000"/>
          <w:lang w:val="en-US"/>
        </w:rPr>
        <w:t xml:space="preserve">modelling and designing systems using </w:t>
      </w:r>
      <w:r w:rsidR="00542B21" w:rsidRPr="00E544CA">
        <w:rPr>
          <w:color w:val="000000"/>
          <w:lang w:val="en-US"/>
        </w:rPr>
        <w:t>colored Petri nets based on ontologies and the SPARQL language.</w:t>
      </w:r>
      <w:r w:rsidR="001F3465">
        <w:rPr>
          <w:color w:val="000000"/>
          <w:lang w:val="en-US"/>
        </w:rPr>
        <w:t xml:space="preserve"> The </w:t>
      </w:r>
      <w:proofErr w:type="spellStart"/>
      <w:proofErr w:type="gramStart"/>
      <w:r w:rsidR="001F3465" w:rsidRPr="001F3465">
        <w:rPr>
          <w:color w:val="000000"/>
          <w:lang w:val="en-US"/>
        </w:rPr>
        <w:t>The</w:t>
      </w:r>
      <w:proofErr w:type="spellEnd"/>
      <w:proofErr w:type="gramEnd"/>
      <w:r w:rsidR="001F3465" w:rsidRPr="001F3465">
        <w:rPr>
          <w:color w:val="000000"/>
          <w:lang w:val="en-US"/>
        </w:rPr>
        <w:t xml:space="preserve"> issues of building applications for the interpretation of distributed network models are considered.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 xml:space="preserve">The proposed approach is based on the description of the knowledge area using ontologies, as well as on the use of SPARQL queries in order to modify ontologies during modeling. 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An ontology of colored Petri nets was compiled, describing the static structure and dynamics of the models. In addition, a number of SPARQL queries have been developed that are used to perform initial initialization, identify combinations of allowed transitions and execute them directly</w:t>
      </w:r>
      <w:r w:rsidR="002F08DD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This approach develops the ideas of building service-oriented applications, updating them within the framework of the concept of Web 3.0.</w:t>
      </w:r>
    </w:p>
    <w:p w:rsidR="00BC6808" w:rsidRPr="009C40E4" w:rsidRDefault="00542B21" w:rsidP="009C40E4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="00BE6E1C">
        <w:rPr>
          <w:lang w:val="en-US"/>
        </w:rPr>
        <w:t>: modelling, ontology, colo</w:t>
      </w:r>
      <w:r w:rsidRPr="00542B21">
        <w:rPr>
          <w:lang w:val="en-US"/>
        </w:rPr>
        <w:t xml:space="preserve">red Petri nets, </w:t>
      </w:r>
      <w:r w:rsidR="002F08DD">
        <w:rPr>
          <w:lang w:val="en-US"/>
        </w:rPr>
        <w:t>semantics</w:t>
      </w:r>
      <w:r w:rsidRPr="00542B21">
        <w:rPr>
          <w:lang w:val="en-US"/>
        </w:rPr>
        <w:t>,</w:t>
      </w:r>
      <w:r w:rsidR="002F08DD">
        <w:rPr>
          <w:lang w:val="en-US"/>
        </w:rPr>
        <w:t xml:space="preserve"> web,</w:t>
      </w:r>
      <w:r w:rsidRPr="00542B21">
        <w:rPr>
          <w:lang w:val="en-US"/>
        </w:rPr>
        <w:t xml:space="preserve"> SPARQL.</w:t>
      </w:r>
    </w:p>
    <w:p w:rsidR="00B93931" w:rsidRPr="007111A1" w:rsidRDefault="00B21CBB" w:rsidP="009C40E4">
      <w:pPr>
        <w:pStyle w:val="Heading1"/>
      </w:pPr>
      <w:r w:rsidRPr="009C40E4">
        <w:t>Введение</w:t>
      </w:r>
    </w:p>
    <w:p w:rsidR="00D000E6" w:rsidRDefault="004D5579" w:rsidP="009C40E4">
      <w:r>
        <w:t>Моделирование является важным этапом разработки систем, в</w:t>
      </w:r>
      <w:r w:rsidRPr="009C72A2">
        <w:t xml:space="preserve"> которых понятия параллельности и событийного взаимодействия являются ключевыми</w:t>
      </w:r>
      <w:r>
        <w:t xml:space="preserve"> </w:t>
      </w:r>
      <w:r w:rsidRPr="004D5579">
        <w:t>[</w:t>
      </w:r>
      <w:r>
        <w:t>1</w:t>
      </w:r>
      <w:r w:rsidRPr="004D5579">
        <w:t>]</w:t>
      </w:r>
      <w:r>
        <w:t>. Это относится</w:t>
      </w:r>
      <w:r w:rsidR="00077B0D">
        <w:t xml:space="preserve"> и</w:t>
      </w:r>
      <w:r>
        <w:t xml:space="preserve"> к распределенным</w:t>
      </w:r>
      <w:r w:rsidR="00077B0D">
        <w:t xml:space="preserve"> вычислительным</w:t>
      </w:r>
      <w:r w:rsidRPr="009C72A2">
        <w:t>, управляю</w:t>
      </w:r>
      <w:r w:rsidR="00077B0D">
        <w:t>щим и коммуникационным</w:t>
      </w:r>
      <w:r>
        <w:t xml:space="preserve"> систем</w:t>
      </w:r>
      <w:r w:rsidR="00077B0D">
        <w:t>ам</w:t>
      </w:r>
      <w:r>
        <w:t xml:space="preserve"> промышленного масштаба. Наиболее апробированным средством моделирования считаются раскрашенные сети Петри (РСП). </w:t>
      </w:r>
      <w:r w:rsidR="009C72A2" w:rsidRPr="009C72A2">
        <w:t xml:space="preserve">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</w:t>
      </w:r>
      <w:r w:rsidR="00C032A8">
        <w:t>лежат в основе</w:t>
      </w:r>
      <w:r w:rsidR="009C72A2" w:rsidRPr="009C72A2">
        <w:t xml:space="preserve"> </w:t>
      </w:r>
      <w:r w:rsidR="00077B0D">
        <w:t xml:space="preserve">концепции семантического </w:t>
      </w:r>
      <w:r w:rsidR="00077B0D" w:rsidRPr="00077B0D">
        <w:rPr>
          <w:i/>
          <w:lang w:val="en-US"/>
        </w:rPr>
        <w:t>W</w:t>
      </w:r>
      <w:r w:rsidR="009C72A2" w:rsidRPr="00077B0D">
        <w:rPr>
          <w:i/>
        </w:rPr>
        <w:t>eb</w:t>
      </w:r>
      <w:r w:rsidR="009C72A2" w:rsidRPr="009C72A2">
        <w:t xml:space="preserve">, </w:t>
      </w:r>
      <w:r w:rsidR="00C032A8">
        <w:t xml:space="preserve">разрабатываемой с целью достижения универсальной среды для обмена </w:t>
      </w:r>
      <w:r w:rsidR="00C032A8">
        <w:lastRenderedPageBreak/>
        <w:t>информацией во всемирной паутине</w:t>
      </w:r>
      <w:r w:rsidR="009C72A2" w:rsidRPr="009C72A2">
        <w:t xml:space="preserve">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</w:t>
      </w:r>
      <w:r w:rsidR="009C72A2" w:rsidRPr="00B25BDE">
        <w:rPr>
          <w:i/>
        </w:rPr>
        <w:t>W3C</w:t>
      </w:r>
      <w:r w:rsidR="009C72A2" w:rsidRPr="009C72A2">
        <w:t xml:space="preserve">, является язык запросов </w:t>
      </w:r>
      <w:r w:rsidR="009C72A2" w:rsidRPr="00B25BDE">
        <w:rPr>
          <w:i/>
        </w:rPr>
        <w:t>SPARQL</w:t>
      </w:r>
      <w:r w:rsidR="009C72A2" w:rsidRPr="009C72A2">
        <w:t xml:space="preserve"> [3], использующийся для работы с данными в формате </w:t>
      </w:r>
      <w:r w:rsidR="009C72A2" w:rsidRPr="00B25BDE">
        <w:rPr>
          <w:i/>
        </w:rPr>
        <w:t>RDF</w:t>
      </w:r>
      <w:r w:rsidR="009C72A2" w:rsidRPr="009C72A2">
        <w:t>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F31428" w:rsidRDefault="00F31428" w:rsidP="009C40E4">
      <w:pPr>
        <w:pStyle w:val="Heading1"/>
      </w:pPr>
      <w:r>
        <w:t>Формальное определение исполь</w:t>
      </w:r>
      <w:r w:rsidR="009C40E4">
        <w:t>зуемых раскрашенных сетей Петри</w:t>
      </w:r>
    </w:p>
    <w:p w:rsidR="00354626" w:rsidRDefault="00354626" w:rsidP="009C72A2">
      <w:r>
        <w:t>Рассмотрим формальное определение используемого класса сетей Петри. Оно включает в себя две составляющие: представление статической структуры и представление динамики поведения.</w:t>
      </w:r>
    </w:p>
    <w:p w:rsidR="00354626" w:rsidRDefault="00354626" w:rsidP="009C72A2">
      <w:r>
        <w:t>Статическая структура может быть представлена кортежем, представленным в (1)</w:t>
      </w:r>
      <w:r w:rsidR="00DE2552">
        <w:t>:</w:t>
      </w:r>
    </w:p>
    <w:p w:rsidR="00354626" w:rsidRDefault="00DE2552" w:rsidP="00DE255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P,T,A,</m:t>
            </m:r>
            <m:r>
              <m:rPr>
                <m:sty m:val="p"/>
              </m:rPr>
              <w:rPr>
                <w:rFonts w:ascii="Cambria Math" w:hAnsi="Cambria Math"/>
              </w:rPr>
              <m:t>TRM, CS</m:t>
            </m:r>
            <m:r>
              <w:rPr>
                <w:rFonts w:ascii="Cambria Math" w:hAnsi="Cambria Math"/>
              </w:rPr>
              <m:t>,V,C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,AN,I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E2552" w:rsidRDefault="00DE2552" w:rsidP="009C72A2">
      <w:r w:rsidRPr="00DE2552">
        <w:rPr>
          <w:highlight w:val="yellow"/>
        </w:rPr>
        <w:t>Для наглядности, примеры для формального определения будем приводить на простой модели, представленной на рисунке ?...</w:t>
      </w:r>
    </w:p>
    <w:p w:rsidR="00354626" w:rsidRDefault="00DE2552" w:rsidP="009C72A2">
      <w:r>
        <w:t>Основу статической структуры составляют: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позиций </w:t>
      </w:r>
      <w:r>
        <w:rPr>
          <w:lang w:val="en-US"/>
        </w:rPr>
        <w:t>P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переходов </w:t>
      </w:r>
      <w:r>
        <w:rPr>
          <w:lang w:val="en-US"/>
        </w:rPr>
        <w:t>T</w:t>
      </w:r>
    </w:p>
    <w:p w:rsidR="00DE2552" w:rsidRP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направленных дуг </w:t>
      </w:r>
      <w:r>
        <w:rPr>
          <w:lang w:val="en-US"/>
        </w:rPr>
        <w:t>A</w:t>
      </w:r>
    </w:p>
    <w:p w:rsidR="00DE2552" w:rsidRDefault="003B524D" w:rsidP="00DE2552">
      <w:pPr>
        <w:rPr>
          <w:rFonts w:eastAsiaTheme="minorEastAsia"/>
        </w:rPr>
      </w:pPr>
      <w:r>
        <w:t xml:space="preserve">При этом множества </w:t>
      </w:r>
      <w:r>
        <w:rPr>
          <w:lang w:val="en-US"/>
        </w:rPr>
        <w:t>P</w:t>
      </w:r>
      <w:r w:rsidRPr="003B524D">
        <w:t xml:space="preserve"> </w:t>
      </w:r>
      <w:r>
        <w:t xml:space="preserve">и </w:t>
      </w:r>
      <w:r>
        <w:rPr>
          <w:lang w:val="en-US"/>
        </w:rPr>
        <w:t>T</w:t>
      </w:r>
      <w:r w:rsidRPr="003B524D">
        <w:t xml:space="preserve"> </w:t>
      </w:r>
      <w:r>
        <w:t>не пересекаются. Вместе позиции и переходы составляют множество узлов сети</w:t>
      </w:r>
      <w:r w:rsidRPr="003B524D">
        <w:t xml:space="preserve"> </w:t>
      </w:r>
      <w:r>
        <w:rPr>
          <w:lang w:val="en-US"/>
        </w:rPr>
        <w:t>N</w:t>
      </w:r>
      <w:r>
        <w:t>.</w:t>
      </w:r>
      <w:r w:rsidRPr="003B524D">
        <w:t xml:space="preserve"> </w:t>
      </w:r>
      <w:r>
        <w:t xml:space="preserve">Дуги представляют собой пары узлов разного типа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src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задающих направление.</w:t>
      </w:r>
      <w:r w:rsidR="008823CC">
        <w:rPr>
          <w:rFonts w:eastAsiaTheme="minorEastAsia"/>
        </w:rPr>
        <w:t xml:space="preserve"> При этом допускается наличие параллельных дуг, т.е. дуг с одинаковыми начальными и конечными узлами.</w:t>
      </w:r>
    </w:p>
    <w:p w:rsidR="000F4FDD" w:rsidRDefault="000F4FDD" w:rsidP="00DE25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Разметка позиций, переходов и дуг производится с помощью выражений. Множество всех выражений определено как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:rsidR="000F4FDD" w:rsidRDefault="0060769D" w:rsidP="00DE2552">
      <w:pPr>
        <w:rPr>
          <w:rFonts w:eastAsiaTheme="minorEastAsia"/>
        </w:rPr>
      </w:pPr>
      <w:r>
        <w:rPr>
          <w:rFonts w:eastAsiaTheme="minorEastAsia"/>
        </w:rPr>
        <w:t>Конечное м</w:t>
      </w:r>
      <w:r w:rsidR="000F4FDD">
        <w:rPr>
          <w:rFonts w:eastAsiaTheme="minorEastAsia"/>
        </w:rPr>
        <w:t xml:space="preserve">ножество наборов цветов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  <w:r w:rsidR="008456ED">
        <w:rPr>
          <w:rFonts w:eastAsiaTheme="minorEastAsia"/>
        </w:rPr>
        <w:t xml:space="preserve"> Конечное м</w:t>
      </w:r>
      <w:r w:rsidR="000F4FDD">
        <w:rPr>
          <w:rFonts w:eastAsiaTheme="minorEastAsia"/>
        </w:rPr>
        <w:t xml:space="preserve">ножество переменных </w:t>
      </w:r>
      <w:r w:rsidR="000F4FDD">
        <w:rPr>
          <w:rFonts w:eastAsiaTheme="minorEastAsia"/>
          <w:lang w:val="en-US"/>
        </w:rPr>
        <w:t>V</w:t>
      </w:r>
      <w:r w:rsidR="000F4FDD">
        <w:rPr>
          <w:rFonts w:eastAsiaTheme="minorEastAsia"/>
        </w:rPr>
        <w:t xml:space="preserve">. Для каждой переменной определен цвет из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</w:p>
    <w:p w:rsidR="00F744ED" w:rsidRPr="00F744ED" w:rsidRDefault="00F744ED" w:rsidP="00DE2552"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>CP</w:t>
      </w:r>
      <w:r w:rsidRPr="00F744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набор цветов каждой позиции из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:rsidR="00DE2552" w:rsidRDefault="00F744ED" w:rsidP="009C72A2">
      <w:r>
        <w:t xml:space="preserve">Функция </w:t>
      </w:r>
      <w:r>
        <w:rPr>
          <w:lang w:val="en-US"/>
        </w:rPr>
        <w:t>GD</w:t>
      </w:r>
      <w:r w:rsidRPr="00F744ED">
        <w:t xml:space="preserve"> </w:t>
      </w:r>
      <w:r>
        <w:t xml:space="preserve">сопоставляет сторожевое условие из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 w:rsidR="0060769D">
        <w:t xml:space="preserve"> </w:t>
      </w:r>
      <w:r>
        <w:t xml:space="preserve">каждому переходу из </w:t>
      </w:r>
      <w:r>
        <w:rPr>
          <w:lang w:val="en-US"/>
        </w:rPr>
        <w:t>T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AN</w:t>
      </w:r>
      <w:r w:rsidRPr="0060769D">
        <w:t xml:space="preserve"> </w:t>
      </w:r>
      <w:r>
        <w:t xml:space="preserve">сопоставляет аннотацию из </w:t>
      </w:r>
      <w:r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M</w:t>
      </w:r>
      <w:r>
        <w:t xml:space="preserve"> каждой дуге из </w:t>
      </w:r>
      <w:r>
        <w:rPr>
          <w:lang w:val="en-US"/>
        </w:rPr>
        <w:t>A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IM</w:t>
      </w:r>
      <w:r w:rsidRPr="0060769D">
        <w:t xml:space="preserve"> </w:t>
      </w:r>
      <w:r>
        <w:t xml:space="preserve">сопоставляет </w:t>
      </w:r>
      <w:r w:rsidR="000219B6">
        <w:t>выражение начальной маркировки</w:t>
      </w:r>
      <w:r>
        <w:t xml:space="preserve"> из </w:t>
      </w:r>
      <w:r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M</w:t>
      </w:r>
      <w:r>
        <w:t xml:space="preserve"> каждой позиции из </w:t>
      </w:r>
      <w:r>
        <w:rPr>
          <w:lang w:val="en-US"/>
        </w:rPr>
        <w:t>P</w:t>
      </w:r>
      <w:r>
        <w:t>.</w:t>
      </w:r>
    </w:p>
    <w:p w:rsidR="0060769D" w:rsidRDefault="0060769D" w:rsidP="009C72A2">
      <w:r>
        <w:t>Таким образом, все определения статической структуры РСП приведены в формулах со (2) по</w:t>
      </w:r>
      <w:r w:rsidR="008456ED">
        <w:t xml:space="preserve"> (7</w:t>
      </w:r>
      <w: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P∩T=∅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A⊆(P×T)∪(T×P)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CS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(4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GD:T→TRM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(5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AN:A→TRM</m:t>
        </m:r>
      </m:oMath>
      <w:r w:rsidR="008456ED">
        <w:rPr>
          <w:rFonts w:eastAsiaTheme="minorEastAsia"/>
        </w:rPr>
        <w:tab/>
        <w:t>(6</w:t>
      </w:r>
      <w:r>
        <w:rPr>
          <w:rFonts w:eastAsiaTheme="minorEastAsia"/>
        </w:rPr>
        <w:t>)</w:t>
      </w:r>
    </w:p>
    <w:p w:rsidR="0060769D" w:rsidRDefault="0060769D" w:rsidP="008456E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IM:P→TRM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255907" w:rsidRDefault="00255907" w:rsidP="009C72A2">
      <w:pPr>
        <w:rPr>
          <w:rFonts w:eastAsiaTheme="minorEastAsia"/>
        </w:rPr>
      </w:pPr>
      <w:r>
        <w:t xml:space="preserve">Еще одной немаловажной составляющей РСП являются мультимножества. Оно определяется для непустого множества базовых наборов </w:t>
      </w:r>
      <w:r>
        <w:rPr>
          <w:lang w:val="en-US"/>
        </w:rPr>
        <w:t>BS</w:t>
      </w:r>
      <w:r>
        <w:t xml:space="preserve"> и представляется как функция </w:t>
      </w:r>
      <w:r w:rsidR="009D1639">
        <w:rPr>
          <w:lang w:val="en-US"/>
        </w:rPr>
        <w:t>m</w:t>
      </w:r>
      <w:r w:rsidR="009D1639" w:rsidRPr="009D1639">
        <w:t xml:space="preserve"> </w:t>
      </w:r>
      <w:r>
        <w:t xml:space="preserve">от </w:t>
      </w:r>
      <w:r>
        <w:rPr>
          <w:lang w:val="en-US"/>
        </w:rPr>
        <w:t>MS</w:t>
      </w:r>
      <w:r>
        <w:t xml:space="preserve">, сопоставляющая каждое мультимножество множеству </w:t>
      </w:r>
      <m:oMath>
        <m:r>
          <w:rPr>
            <w:rFonts w:ascii="Cambria Math" w:hAnsi="Cambria Math"/>
          </w:rPr>
          <m:t>BS`⊆BS</m:t>
        </m:r>
      </m:oMath>
      <w:r w:rsidRPr="00255907">
        <w:rPr>
          <w:rFonts w:eastAsiaTheme="minorEastAsia"/>
        </w:rPr>
        <w:t xml:space="preserve"> </w:t>
      </w:r>
      <w:r>
        <w:rPr>
          <w:rFonts w:eastAsiaTheme="minorEastAsia"/>
        </w:rPr>
        <w:t>входящих в него базовых наборов.</w:t>
      </w:r>
    </w:p>
    <w:p w:rsidR="0060769D" w:rsidRDefault="00E948AA" w:rsidP="009C72A2">
      <w:pPr>
        <w:rPr>
          <w:rFonts w:eastAsiaTheme="minorEastAsia"/>
        </w:rPr>
      </w:pPr>
      <w:r>
        <w:rPr>
          <w:rFonts w:eastAsiaTheme="minorEastAsia"/>
        </w:rPr>
        <w:t>Базовый набор</w:t>
      </w:r>
      <w:r w:rsidR="009D1639">
        <w:rPr>
          <w:rFonts w:eastAsiaTheme="minorEastAsia"/>
        </w:rPr>
        <w:t xml:space="preserve"> </w:t>
      </w:r>
      <w:r>
        <w:rPr>
          <w:rFonts w:eastAsiaTheme="minorEastAsia"/>
        </w:rPr>
        <w:t>определен как</w:t>
      </w:r>
      <w:r w:rsidR="009D1639">
        <w:rPr>
          <w:rFonts w:eastAsiaTheme="minorEastAsia"/>
        </w:rPr>
        <w:t xml:space="preserve"> функция </w:t>
      </w:r>
      <w:r>
        <w:rPr>
          <w:rFonts w:eastAsiaTheme="minorEastAsia"/>
          <w:lang w:val="en-US"/>
        </w:rPr>
        <w:t>BS</w:t>
      </w:r>
      <w:r>
        <w:rPr>
          <w:rFonts w:eastAsiaTheme="minorEastAsia"/>
        </w:rPr>
        <w:t xml:space="preserve"> над некоторым множеством </w:t>
      </w:r>
      <w:r>
        <w:rPr>
          <w:rFonts w:eastAsiaTheme="minorEastAsia"/>
          <w:lang w:val="en-US"/>
        </w:rPr>
        <w:t>S</w:t>
      </w:r>
      <w:r w:rsidR="009D1639" w:rsidRPr="009D1639">
        <w:rPr>
          <w:rFonts w:eastAsiaTheme="minorEastAsia"/>
        </w:rPr>
        <w:t xml:space="preserve">, </w:t>
      </w:r>
      <w:r w:rsidR="00255907">
        <w:rPr>
          <w:rFonts w:eastAsiaTheme="minorEastAsia"/>
        </w:rPr>
        <w:t xml:space="preserve">сопоставляющая каждый базовый набор </w:t>
      </w:r>
      <w:r w:rsidR="00255907">
        <w:t xml:space="preserve">с некоторым числом из множества неотрицательных целых чисел </w:t>
      </w:r>
      <w:r w:rsidR="00255907">
        <w:rPr>
          <w:lang w:val="en-US"/>
        </w:rPr>
        <w:t>N</w:t>
      </w:r>
      <w:r w:rsidR="00255907">
        <w:t xml:space="preserve">. При этом число </w:t>
      </w:r>
      <m:oMath>
        <m:r>
          <w:rPr>
            <w:rFonts w:ascii="Cambria Math" w:hAnsi="Cambria Math"/>
          </w:rPr>
          <m:t>n∈N</m:t>
        </m:r>
      </m:oMath>
      <w:r w:rsidR="00255907">
        <w:rPr>
          <w:rFonts w:eastAsiaTheme="minorEastAsia"/>
        </w:rPr>
        <w:t xml:space="preserve"> называется количеством вхождений</w:t>
      </w:r>
      <w:r w:rsidR="00055485">
        <w:rPr>
          <w:rFonts w:eastAsiaTheme="minorEastAsia"/>
        </w:rPr>
        <w:t xml:space="preserve"> (</w:t>
      </w:r>
      <w:r w:rsidR="00055485">
        <w:rPr>
          <w:rFonts w:eastAsiaTheme="minorEastAsia"/>
          <w:lang w:val="en-US"/>
        </w:rPr>
        <w:t>multiplicity</w:t>
      </w:r>
      <w:r w:rsidR="00055485">
        <w:rPr>
          <w:rFonts w:eastAsiaTheme="minorEastAsia"/>
        </w:rPr>
        <w:t>)</w:t>
      </w:r>
      <w:r w:rsidR="00255907">
        <w:rPr>
          <w:rFonts w:eastAsiaTheme="minorEastAsia"/>
        </w:rPr>
        <w:t xml:space="preserve">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255907">
        <w:rPr>
          <w:rFonts w:eastAsiaTheme="minorEastAsia"/>
        </w:rPr>
        <w:t xml:space="preserve"> в базовый набор.</w:t>
      </w:r>
    </w:p>
    <w:p w:rsidR="00F744ED" w:rsidRDefault="00055485" w:rsidP="009D1639">
      <w:pPr>
        <w:rPr>
          <w:i/>
        </w:rPr>
      </w:pPr>
      <w:r>
        <w:rPr>
          <w:rFonts w:eastAsiaTheme="minorEastAsia"/>
        </w:rPr>
        <w:lastRenderedPageBreak/>
        <w:t xml:space="preserve">Мультимножества используются для представления наборов токенов, аннотаций и режимов </w:t>
      </w:r>
      <w:r w:rsidRPr="00055485">
        <w:rPr>
          <w:rFonts w:eastAsiaTheme="minorEastAsia"/>
        </w:rPr>
        <w:t>(</w:t>
      </w:r>
      <w:r>
        <w:rPr>
          <w:rFonts w:eastAsiaTheme="minorEastAsia"/>
          <w:lang w:val="en-US"/>
        </w:rPr>
        <w:t>modes</w:t>
      </w:r>
      <w:r w:rsidRPr="0005548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переходов. Стоит отметить, что для мультимножеств не определены операции сложения, вычитания, сравнения, умножения на число и т.д. (в отличие от </w:t>
      </w:r>
      <w:r w:rsidRPr="00055485">
        <w:rPr>
          <w:rFonts w:eastAsiaTheme="minorEastAsia"/>
        </w:rPr>
        <w:t>[</w:t>
      </w:r>
      <w:r>
        <w:rPr>
          <w:rFonts w:eastAsiaTheme="minorEastAsia"/>
          <w:lang w:val="en-US"/>
        </w:rPr>
        <w:t>Jensen</w:t>
      </w:r>
      <w:r w:rsidRPr="000554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CPN</w:t>
      </w:r>
      <w:r w:rsidRPr="000554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Tools</w:t>
      </w:r>
      <w:r w:rsidRPr="00055485">
        <w:rPr>
          <w:rFonts w:eastAsiaTheme="minorEastAsia"/>
        </w:rPr>
        <w:t>]</w:t>
      </w:r>
      <w:r>
        <w:rPr>
          <w:rFonts w:eastAsiaTheme="minorEastAsia"/>
        </w:rPr>
        <w:t>)</w:t>
      </w:r>
    </w:p>
    <w:p w:rsidR="009D1639" w:rsidRDefault="009D1639" w:rsidP="009D1639">
      <w:r>
        <w:t>Таким образом, определения для мультимножеств и базовых наборов сформулированы следующим образом.</w:t>
      </w:r>
    </w:p>
    <w:p w:rsidR="00E948AA" w:rsidRDefault="009D1639" w:rsidP="00E948AA">
      <w:pPr>
        <w:rPr>
          <w:rFonts w:eastAsiaTheme="minorEastAsia"/>
        </w:rPr>
      </w:pPr>
      <w:r>
        <w:t xml:space="preserve">Пусть определено некоторое непустое множество </w:t>
      </w:r>
      <w:r>
        <w:rPr>
          <w:lang w:val="en-US"/>
        </w:rPr>
        <w:t>S</w:t>
      </w:r>
      <w:r>
        <w:t xml:space="preserve">. Тогда множеством базовых наборов </w:t>
      </w:r>
      <w:r>
        <w:rPr>
          <w:lang w:val="en-US"/>
        </w:rPr>
        <w:t>BS</w:t>
      </w:r>
      <w:r w:rsidRPr="009D1639">
        <w:t xml:space="preserve"> </w:t>
      </w:r>
      <w:r>
        <w:t xml:space="preserve">над </w:t>
      </w:r>
      <w:r>
        <w:rPr>
          <w:lang w:val="en-US"/>
        </w:rPr>
        <w:t>S</w:t>
      </w:r>
      <w:r w:rsidRPr="009D1639">
        <w:t xml:space="preserve"> </w:t>
      </w:r>
      <w:r>
        <w:t xml:space="preserve">является функция </w:t>
      </w:r>
      <m:oMath>
        <m:r>
          <w:rPr>
            <w:rFonts w:ascii="Cambria Math" w:hAnsi="Cambria Math"/>
          </w:rPr>
          <m:t>BS:S→N</m:t>
        </m:r>
      </m:oMath>
      <w:r w:rsidR="00E948AA">
        <w:rPr>
          <w:rFonts w:eastAsiaTheme="minorEastAsia"/>
        </w:rPr>
        <w:t xml:space="preserve">, указывающая на число вхождений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E948AA">
        <w:rPr>
          <w:rFonts w:eastAsiaTheme="minorEastAsia"/>
        </w:rPr>
        <w:t xml:space="preserve"> в базовый набор. При этом справедливо следующее: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∀s∈S:s∈BS↔</m:t>
        </m:r>
        <m:r>
          <w:rPr>
            <w:rFonts w:ascii="Cambria Math" w:eastAsiaTheme="minorEastAsia" w:hAnsi="Cambria Math"/>
          </w:rPr>
          <m:t>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(8)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∀bs∈BS ∃!</m:t>
        </m:r>
        <m:r>
          <w:rPr>
            <w:rFonts w:ascii="Cambria Math" w:hAnsi="Cambria Math"/>
            <w:lang w:val="en-US"/>
          </w:rPr>
          <m:t>ms</m:t>
        </m:r>
        <m:r>
          <w:rPr>
            <w:rFonts w:ascii="Cambria Math" w:hAnsi="Cambria Math"/>
          </w:rPr>
          <m:t>∈MS: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  <m:r>
          <w:rPr>
            <w:rFonts w:ascii="Cambria Math" w:hAnsi="Cambria Math"/>
          </w:rPr>
          <m:t>=ms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E948AA" w:rsidRDefault="00E948AA" w:rsidP="00E948AA">
      <w:pPr>
        <w:rPr>
          <w:rFonts w:eastAsiaTheme="minorEastAsia"/>
        </w:rPr>
      </w:pPr>
    </w:p>
    <w:p w:rsidR="00330635" w:rsidRDefault="007A4011" w:rsidP="00E948AA">
      <w:pPr>
        <w:rPr>
          <w:rFonts w:eastAsiaTheme="minorEastAsia"/>
        </w:rPr>
      </w:pPr>
      <w:r>
        <w:rPr>
          <w:rFonts w:eastAsiaTheme="minorEastAsia"/>
        </w:rPr>
        <w:t>Рассмотрим определения динамики поведения РСП.</w:t>
      </w:r>
    </w:p>
    <w:p w:rsidR="007A4011" w:rsidRDefault="007A4011" w:rsidP="00E948AA">
      <w:pPr>
        <w:rPr>
          <w:rFonts w:eastAsiaTheme="minorEastAsia"/>
        </w:rPr>
      </w:pPr>
      <w:r>
        <w:rPr>
          <w:rFonts w:eastAsiaTheme="minorEastAsia"/>
        </w:rPr>
        <w:t xml:space="preserve">Маркировка представляет собой конечное множество </w:t>
      </w:r>
      <w:r w:rsidR="006D3ED2">
        <w:rPr>
          <w:rFonts w:eastAsiaTheme="minorEastAsia"/>
          <w:lang w:val="en-US"/>
        </w:rPr>
        <w:t>MP</w:t>
      </w:r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маркировок позиций </w:t>
      </w:r>
      <m:oMath>
        <m:r>
          <w:rPr>
            <w:rFonts w:ascii="Cambria Math" w:eastAsiaTheme="minorEastAsia" w:hAnsi="Cambria Math"/>
          </w:rPr>
          <m:t>mp∈MP</m:t>
        </m:r>
      </m:oMath>
      <w:r>
        <w:rPr>
          <w:rFonts w:eastAsiaTheme="minorEastAsia"/>
        </w:rPr>
        <w:t xml:space="preserve">. Маркировка позиции – это функция </w:t>
      </w:r>
      <w:r>
        <w:rPr>
          <w:rFonts w:eastAsiaTheme="minorEastAsia"/>
          <w:lang w:val="en-US"/>
        </w:rPr>
        <w:t>MP</w:t>
      </w:r>
      <w:r>
        <w:rPr>
          <w:rFonts w:eastAsiaTheme="minorEastAsia"/>
        </w:rPr>
        <w:t xml:space="preserve">, сопоставляющая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мультимножество токенов </w:t>
      </w:r>
      <m:oMath>
        <m:r>
          <w:rPr>
            <w:rFonts w:ascii="Cambria Math" w:eastAsiaTheme="minorEastAsia" w:hAnsi="Cambria Math"/>
          </w:rPr>
          <m:t>mt∈MS</m:t>
        </m:r>
      </m:oMath>
      <w:r>
        <w:rPr>
          <w:rFonts w:eastAsiaTheme="minorEastAsia"/>
        </w:rPr>
        <w:t>.</w:t>
      </w:r>
    </w:p>
    <w:p w:rsidR="006D3ED2" w:rsidRDefault="006D3ED2" w:rsidP="00E948AA">
      <w:pPr>
        <w:rPr>
          <w:rFonts w:eastAsiaTheme="minorEastAsia"/>
        </w:rPr>
      </w:pPr>
      <w:r>
        <w:rPr>
          <w:rFonts w:eastAsiaTheme="minorEastAsia"/>
        </w:rPr>
        <w:t>Для начальной маркировки справедливо следующее:</w:t>
      </w:r>
    </w:p>
    <w:p w:rsidR="006D3ED2" w:rsidRDefault="006D3ED2" w:rsidP="006D3ED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 xml:space="preserve"> ∃</m:t>
        </m:r>
        <m:r>
          <w:rPr>
            <w:rFonts w:ascii="Cambria Math" w:hAnsi="Cambria Math"/>
            <w:lang w:val="en-US"/>
          </w:rPr>
          <m:t>mp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MP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6D3ED2" w:rsidRPr="00A05E37" w:rsidRDefault="00A05E37" w:rsidP="00A05E37">
      <w:r w:rsidRPr="00A05E37">
        <w:rPr>
          <w:highlight w:val="yellow"/>
        </w:rPr>
        <w:t>...</w:t>
      </w:r>
    </w:p>
    <w:p w:rsidR="00D757F3" w:rsidRDefault="00A05E37" w:rsidP="009C72A2">
      <w:r>
        <w:t>Токенами являются элементы множества, над которым объявлено множество базовых наборов, составляющих мультимножество токенов для некоторой позиции.</w:t>
      </w:r>
      <w:r w:rsidR="000219B6">
        <w:t xml:space="preserve"> Токены начальной маркировки связаны с выражением начальной маркировки функцией</w:t>
      </w:r>
      <w:r w:rsidR="002671FF">
        <w:t xml:space="preserve"> (</w:t>
      </w:r>
      <w:r w:rsidR="002671FF" w:rsidRPr="002671FF">
        <w:rPr>
          <w:highlight w:val="yellow"/>
        </w:rPr>
        <w:t>парой</w:t>
      </w:r>
      <w:r w:rsidR="00665BE2" w:rsidRPr="00665BE2">
        <w:rPr>
          <w:highlight w:val="yellow"/>
        </w:rPr>
        <w:t>, множество вычислений</w:t>
      </w:r>
      <w:r w:rsidR="002671FF">
        <w:t>)</w:t>
      </w:r>
      <w:r w:rsidR="000219B6">
        <w:t xml:space="preserve"> </w:t>
      </w:r>
      <w:r w:rsidR="000219B6">
        <w:rPr>
          <w:lang w:val="en-US"/>
        </w:rPr>
        <w:t>EV</w:t>
      </w:r>
      <w:r w:rsidR="000219B6">
        <w:t>.</w:t>
      </w:r>
    </w:p>
    <w:p w:rsidR="00A84EDB" w:rsidRDefault="00281A22" w:rsidP="009C72A2">
      <w:r>
        <w:t xml:space="preserve">Срабатыванием </w:t>
      </w:r>
      <w:r w:rsidRPr="00281A22">
        <w:t>(</w:t>
      </w:r>
      <w:r>
        <w:rPr>
          <w:lang w:val="en-US"/>
        </w:rPr>
        <w:t>Firing</w:t>
      </w:r>
      <w:r w:rsidRPr="00281A22">
        <w:t>)</w:t>
      </w:r>
      <w:r>
        <w:t xml:space="preserve"> является пара маркировок: начальной и конечной. Для каждого срабатывания определено мультимножество режимов перехода</w:t>
      </w:r>
      <w:r w:rsidRPr="00A84EDB">
        <w:t xml:space="preserve"> </w:t>
      </w:r>
      <m:oMath>
        <m:r>
          <w:rPr>
            <w:rFonts w:ascii="Cambria Math" w:hAnsi="Cambria Math"/>
            <w:lang w:val="en-US"/>
          </w:rPr>
          <m:t>tm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TM</m:t>
        </m:r>
      </m:oMath>
      <w:r>
        <w:t>.</w:t>
      </w:r>
      <w:r w:rsidR="00A84EDB">
        <w:t xml:space="preserve"> </w:t>
      </w:r>
    </w:p>
    <w:p w:rsidR="00A84EDB" w:rsidRPr="005D004C" w:rsidRDefault="00A84EDB" w:rsidP="00A84EDB">
      <w:r>
        <w:lastRenderedPageBreak/>
        <w:t>Каждый режим перехода связан с множеством сопоставлений</w:t>
      </w:r>
      <w:r w:rsidRPr="00A84EDB">
        <w:t xml:space="preserve"> </w:t>
      </w:r>
      <w:r>
        <w:rPr>
          <w:lang w:val="en-US"/>
        </w:rPr>
        <w:t>BD</w:t>
      </w:r>
      <w:r>
        <w:t xml:space="preserve"> (</w:t>
      </w:r>
      <w:r>
        <w:rPr>
          <w:lang w:val="en-US"/>
        </w:rPr>
        <w:t>bindings</w:t>
      </w:r>
      <w:r w:rsidRPr="00A84EDB">
        <w:t>)</w:t>
      </w:r>
      <w:r>
        <w:t xml:space="preserve">, где </w:t>
      </w:r>
      <m:oMath>
        <m:r>
          <w:rPr>
            <w:rFonts w:ascii="Cambria Math" w:hAnsi="Cambria Math"/>
          </w:rPr>
          <m:t>BD⊆EV</m:t>
        </m:r>
      </m:oMath>
      <w:r>
        <w:t>.</w:t>
      </w:r>
      <w:r w:rsidR="00E974CB">
        <w:t xml:space="preserve"> В качестве выражений для сопоставлений используются переменные из множества </w:t>
      </w:r>
      <m:oMath>
        <m:r>
          <w:rPr>
            <w:rFonts w:ascii="Cambria Math" w:hAnsi="Cambria Math"/>
          </w:rPr>
          <m:t>V⊆TRM</m:t>
        </m:r>
      </m:oMath>
      <w:r w:rsidR="005D004C">
        <w:rPr>
          <w:rFonts w:eastAsiaTheme="minorEastAsia"/>
        </w:rPr>
        <w:t>.</w:t>
      </w:r>
    </w:p>
    <w:p w:rsidR="009C72A2" w:rsidRDefault="00774F6C" w:rsidP="009C72A2">
      <w:pPr>
        <w:rPr>
          <w:rFonts w:eastAsiaTheme="minorEastAsia"/>
        </w:rPr>
      </w:pPr>
      <w:r>
        <w:t xml:space="preserve">Для срабатывания переходов необходимо вычисление сторожевых условий и аннотаций выходных дуг на основе сопоставлений режимов переходов. Результат вычисления сторожевого условия обозначается как </w:t>
      </w:r>
      <m:oMath>
        <m:r>
          <w:rPr>
            <w:rFonts w:ascii="Cambria Math" w:hAnsi="Cambria Math"/>
          </w:rPr>
          <m:t>GD(t)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</m:oMath>
      <w:r>
        <w:rPr>
          <w:rFonts w:eastAsiaTheme="minorEastAsia"/>
        </w:rPr>
        <w:t xml:space="preserve">, а результат вычисления аннотации дуги - </w:t>
      </w:r>
      <m:oMath>
        <m:r>
          <w:rPr>
            <w:rFonts w:ascii="Cambria Math" w:eastAsiaTheme="minorEastAsia" w:hAnsi="Cambria Math"/>
          </w:rPr>
          <m:t>AN(a)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tm</m:t>
            </m:r>
          </m:e>
        </m:d>
      </m:oMath>
      <w:r>
        <w:rPr>
          <w:rFonts w:eastAsiaTheme="minorEastAsia"/>
        </w:rPr>
        <w:t>.</w:t>
      </w:r>
    </w:p>
    <w:p w:rsidR="0052671D" w:rsidRDefault="00867869" w:rsidP="009C72A2">
      <w:pPr>
        <w:rPr>
          <w:rFonts w:eastAsiaTheme="minorEastAsia"/>
        </w:rPr>
      </w:pPr>
      <w:r>
        <w:rPr>
          <w:rFonts w:eastAsiaTheme="minorEastAsia"/>
        </w:rPr>
        <w:t xml:space="preserve">Множество аннотаций входных дуг из </w:t>
      </w:r>
      <w:r>
        <w:rPr>
          <w:rFonts w:eastAsiaTheme="minorEastAsia"/>
          <w:lang w:val="en-US"/>
        </w:rPr>
        <w:t>p</w:t>
      </w:r>
      <w:r w:rsidRPr="008678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t</w:t>
      </w:r>
      <w:r w:rsidR="0052671D"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AN(p, t)</m:t>
        </m:r>
      </m:oMath>
      <w:r w:rsidR="0052671D">
        <w:rPr>
          <w:rFonts w:eastAsiaTheme="minorEastAsia"/>
        </w:rPr>
        <w:t xml:space="preserve">, </w:t>
      </w:r>
      <w:r>
        <w:rPr>
          <w:rFonts w:eastAsiaTheme="minorEastAsia"/>
        </w:rPr>
        <w:t>множество аннотаций</w:t>
      </w:r>
      <w:r w:rsidR="0052671D">
        <w:rPr>
          <w:rFonts w:eastAsiaTheme="minorEastAsia"/>
        </w:rPr>
        <w:t xml:space="preserve"> в</w:t>
      </w:r>
      <w:r>
        <w:rPr>
          <w:rFonts w:eastAsiaTheme="minorEastAsia"/>
        </w:rPr>
        <w:t>ыходных дуг</w:t>
      </w:r>
      <w:r w:rsidR="0052671D"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AN(t,p)</m:t>
        </m:r>
      </m:oMath>
      <w:r w:rsidR="0052671D">
        <w:rPr>
          <w:rFonts w:eastAsiaTheme="minorEastAsia"/>
        </w:rPr>
        <w:t>.</w:t>
      </w:r>
    </w:p>
    <w:p w:rsidR="00AE577C" w:rsidRPr="00AB417D" w:rsidRDefault="00AE577C" w:rsidP="009C72A2">
      <w:pPr>
        <w:rPr>
          <w:rFonts w:eastAsiaTheme="minorEastAsia"/>
          <w:i/>
        </w:rPr>
      </w:pPr>
      <w:r>
        <w:rPr>
          <w:rFonts w:eastAsiaTheme="minorEastAsia"/>
        </w:rPr>
        <w:t xml:space="preserve">Множество токенов, выбираемых аннотацией входной дуги из позиции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, </w:t>
      </w:r>
      <w:r w:rsidR="00AB417D">
        <w:rPr>
          <w:rFonts w:eastAsiaTheme="minorEastAsia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AN(p,t)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</m:oMath>
    </w:p>
    <w:p w:rsidR="007D2B44" w:rsidRDefault="007D2B44" w:rsidP="009C72A2">
      <w:pPr>
        <w:rPr>
          <w:rFonts w:eastAsiaTheme="minorEastAsia"/>
        </w:rPr>
      </w:pPr>
      <w:r>
        <w:rPr>
          <w:rFonts w:eastAsiaTheme="minorEastAsia"/>
        </w:rPr>
        <w:t xml:space="preserve">Переход </w:t>
      </w:r>
      <w:r>
        <w:rPr>
          <w:rFonts w:eastAsiaTheme="minorEastAsia"/>
          <w:lang w:val="en-US"/>
        </w:rPr>
        <w:t>t</w:t>
      </w:r>
      <w:r w:rsidRPr="007D2B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разрешен с режимом </w:t>
      </w:r>
      <w:r>
        <w:rPr>
          <w:rFonts w:eastAsiaTheme="minorEastAsia"/>
          <w:lang w:val="en-US"/>
        </w:rPr>
        <w:t>tm</w:t>
      </w:r>
      <w:r>
        <w:rPr>
          <w:rFonts w:eastAsiaTheme="minorEastAsia"/>
        </w:rPr>
        <w:t>, если справедливо следующее: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  <m:r>
          <w:rPr>
            <w:rFonts w:ascii="Cambria Math" w:hAnsi="Cambria Math"/>
          </w:rPr>
          <m:t>≠false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AN(p,t)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mp(p)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7D2B44" w:rsidRDefault="00914854" w:rsidP="00914854">
      <w:r>
        <w:t xml:space="preserve">Результирующая маркировка позиции </w:t>
      </w:r>
      <w:r w:rsidR="008A2C0F">
        <w:t>получается путем взятия разницы между текущей маркировкой позиции и множеством извлекаемых токенов, а также присоединением множества новосозданных токенов:</w:t>
      </w:r>
    </w:p>
    <w:p w:rsidR="008A2C0F" w:rsidRDefault="008A2C0F" w:rsidP="008A2C0F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MP</m:t>
        </m:r>
        <m:r>
          <w:rPr>
            <w:rFonts w:ascii="Cambria Math" w:eastAsiaTheme="minorEastAsia" w:hAnsi="Cambria Math"/>
          </w:rPr>
          <m:t>`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=MP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p,t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8A2C0F" w:rsidRPr="007D2B44" w:rsidRDefault="008A2C0F" w:rsidP="00914854"/>
    <w:p w:rsidR="00ED4444" w:rsidRDefault="00ED4444" w:rsidP="009C72A2">
      <w:bookmarkStart w:id="0" w:name="_GoBack"/>
      <w:bookmarkEnd w:id="0"/>
    </w:p>
    <w:p w:rsidR="00ED4444" w:rsidRDefault="00ED4444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pPr>
        <w:rPr>
          <w:rFonts w:eastAsiaTheme="minorEastAsia"/>
        </w:rPr>
      </w:pPr>
      <w:r>
        <w:t>Новая маркировка M</w:t>
      </w:r>
      <w:r w:rsidRPr="008F5E0B">
        <w:t xml:space="preserve">` </w:t>
      </w:r>
      <w:r>
        <w:t>получается из текущей маркировки M</w:t>
      </w:r>
      <w:r w:rsidRPr="008F5E0B">
        <w:t xml:space="preserve"> </w:t>
      </w:r>
      <w: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>: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)++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p∈P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Pr="00F6687E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разрешен, если справедливо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Pr="00F6687E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:rsidR="009C72A2" w:rsidRPr="005F10E9" w:rsidRDefault="009C72A2" w:rsidP="009C72A2">
      <w:pPr>
        <w:rPr>
          <w:rFonts w:eastAsiaTheme="minorEastAsia"/>
        </w:rPr>
      </w:pPr>
      <w:r>
        <w:rPr>
          <w:rFonts w:eastAsiaTheme="minorEastAsia"/>
        </w:rPr>
        <w:t>Результирующая маркировка при срабатывании перехода определяется следующим образом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9C72A2" w:rsidRDefault="009C72A2" w:rsidP="009C72A2">
      <w:pPr>
        <w:rPr>
          <w:rFonts w:eastAsiaTheme="minorEastAsia"/>
        </w:rPr>
      </w:pPr>
      <w:r>
        <w:t xml:space="preserve">Каждый элемент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 xml:space="preserve"> для шага Y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должен удовлетворять сторожевому условию перехода t.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Поэтому каждая позиция должна иметь маркировку, мультимножество токенов, большим или равным сумме извлекаемых из p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токенов элементами связки для шага Y:</w:t>
      </w:r>
    </w:p>
    <w:p w:rsidR="009C72A2" w:rsidRPr="004A7602" w:rsidRDefault="007D2B44" w:rsidP="009C72A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При срабатывании шага Y их позиции p</w:t>
      </w:r>
      <w:r w:rsidRPr="009D54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E(t,p)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при срабатывании шага Y получается:</w:t>
      </w:r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774F6C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B25BDE" w:rsidRPr="00BE6E1C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</w:rPr>
        <w:t>Библиографический</w:t>
      </w:r>
      <w:r w:rsidRPr="00BE6E1C">
        <w:rPr>
          <w:b/>
          <w:i/>
          <w:lang w:val="en-US"/>
        </w:rPr>
        <w:t xml:space="preserve"> </w:t>
      </w:r>
      <w:r w:rsidRPr="00B25BDE">
        <w:rPr>
          <w:b/>
          <w:i/>
        </w:rPr>
        <w:t>список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Default="00B25BDE" w:rsidP="009C46A8"/>
    <w:p w:rsidR="00B25BDE" w:rsidRPr="00B25BDE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  <w:lang w:val="en-US"/>
        </w:rPr>
        <w:t>References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</w:t>
      </w:r>
      <w:proofErr w:type="spellStart"/>
      <w:r w:rsidRPr="009C46A8">
        <w:rPr>
          <w:lang w:val="en-US"/>
        </w:rPr>
        <w:t>Kristensen</w:t>
      </w:r>
      <w:proofErr w:type="spellEnd"/>
      <w:r w:rsidRPr="009C46A8">
        <w:rPr>
          <w:lang w:val="en-US"/>
        </w:rPr>
        <w:t xml:space="preserve"> L.M. </w:t>
      </w:r>
      <w:proofErr w:type="spellStart"/>
      <w:r w:rsidRPr="009C46A8">
        <w:rPr>
          <w:lang w:val="en-US"/>
        </w:rPr>
        <w:t>Coloured</w:t>
      </w:r>
      <w:proofErr w:type="spellEnd"/>
      <w:r w:rsidRPr="009C46A8">
        <w:rPr>
          <w:lang w:val="en-US"/>
        </w:rPr>
        <w:t xml:space="preserve"> Petri Nets. Modelling and Validation of Concurrent Systems // Springer-</w:t>
      </w:r>
      <w:proofErr w:type="spellStart"/>
      <w:r w:rsidRPr="009C46A8">
        <w:rPr>
          <w:lang w:val="en-US"/>
        </w:rPr>
        <w:t>Verlag</w:t>
      </w:r>
      <w:proofErr w:type="spellEnd"/>
      <w:r w:rsidRPr="009C46A8">
        <w:rPr>
          <w:lang w:val="en-US"/>
        </w:rPr>
        <w:t xml:space="preserve"> Berlin Heidelberg, 2009.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Jacksi</w:t>
      </w:r>
      <w:proofErr w:type="spellEnd"/>
      <w:r w:rsidRPr="009C46A8">
        <w:rPr>
          <w:lang w:val="en-US"/>
        </w:rPr>
        <w:t xml:space="preserve"> K. Introduction to Semantic Web. // University of </w:t>
      </w:r>
      <w:proofErr w:type="spellStart"/>
      <w:r w:rsidRPr="009C46A8">
        <w:rPr>
          <w:lang w:val="en-US"/>
        </w:rPr>
        <w:t>Zakho</w:t>
      </w:r>
      <w:proofErr w:type="spellEnd"/>
      <w:r w:rsidRPr="009C46A8">
        <w:rPr>
          <w:lang w:val="en-US"/>
        </w:rPr>
        <w:t xml:space="preserve"> Department of Computer Science March, 2014.</w:t>
      </w:r>
    </w:p>
    <w:p w:rsidR="00B25BDE" w:rsidRDefault="00B25BDE" w:rsidP="00B25BDE">
      <w:r>
        <w:lastRenderedPageBreak/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D. Interoperable Petri Net Models via Ontology / D.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V. </w:t>
      </w:r>
      <w:proofErr w:type="spellStart"/>
      <w:r w:rsidRPr="009C46A8">
        <w:rPr>
          <w:lang w:val="en-US"/>
        </w:rPr>
        <w:t>Devedžić</w:t>
      </w:r>
      <w:proofErr w:type="spellEnd"/>
      <w:r w:rsidRPr="009C46A8">
        <w:rPr>
          <w:lang w:val="en-US"/>
        </w:rPr>
        <w:t xml:space="preserve"> // International Journal of Web Engineering and Technology. – Vol. 3, N 4, 2007. – P. 374-396.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</w:t>
      </w:r>
      <w:proofErr w:type="spellStart"/>
      <w:r w:rsidRPr="009C46A8">
        <w:rPr>
          <w:lang w:val="en-US"/>
        </w:rPr>
        <w:t>Bugarín</w:t>
      </w:r>
      <w:proofErr w:type="spellEnd"/>
      <w:r w:rsidRPr="009C46A8">
        <w:rPr>
          <w:lang w:val="en-US"/>
        </w:rPr>
        <w:t xml:space="preserve"> A. OPENET: Ontology-based engine for high-level Petri nets // Expert Systems with Applications. – 2010. – N 37. – P. 6493–6509.</w:t>
      </w:r>
    </w:p>
    <w:p w:rsidR="00B25BDE" w:rsidRDefault="00B25BDE" w:rsidP="00B25BDE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5BDE" w:rsidRDefault="00B25BDE" w:rsidP="00B25BDE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Pr="00B25BDE" w:rsidRDefault="00B25BDE" w:rsidP="009C46A8"/>
    <w:sectPr w:rsidR="00B25BDE" w:rsidRPr="00B2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844"/>
    <w:multiLevelType w:val="hybridMultilevel"/>
    <w:tmpl w:val="CEF40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219B6"/>
    <w:rsid w:val="0003570D"/>
    <w:rsid w:val="00055485"/>
    <w:rsid w:val="00077B0D"/>
    <w:rsid w:val="000F4FDD"/>
    <w:rsid w:val="00101ED6"/>
    <w:rsid w:val="00104061"/>
    <w:rsid w:val="001F3465"/>
    <w:rsid w:val="00222294"/>
    <w:rsid w:val="00255907"/>
    <w:rsid w:val="00261671"/>
    <w:rsid w:val="002671FF"/>
    <w:rsid w:val="00281A22"/>
    <w:rsid w:val="002A59F2"/>
    <w:rsid w:val="002B2D7E"/>
    <w:rsid w:val="002C1C9C"/>
    <w:rsid w:val="002F08DD"/>
    <w:rsid w:val="00330635"/>
    <w:rsid w:val="00354626"/>
    <w:rsid w:val="003746A5"/>
    <w:rsid w:val="003B524D"/>
    <w:rsid w:val="004D5579"/>
    <w:rsid w:val="004F563E"/>
    <w:rsid w:val="00521CA3"/>
    <w:rsid w:val="0052671D"/>
    <w:rsid w:val="00542B21"/>
    <w:rsid w:val="00554B27"/>
    <w:rsid w:val="00581D90"/>
    <w:rsid w:val="00585543"/>
    <w:rsid w:val="005D004C"/>
    <w:rsid w:val="0060769D"/>
    <w:rsid w:val="006210BF"/>
    <w:rsid w:val="00665BE2"/>
    <w:rsid w:val="006B373A"/>
    <w:rsid w:val="006D3ED2"/>
    <w:rsid w:val="007111A1"/>
    <w:rsid w:val="00754059"/>
    <w:rsid w:val="00774F6C"/>
    <w:rsid w:val="0078144D"/>
    <w:rsid w:val="007A4011"/>
    <w:rsid w:val="007A633B"/>
    <w:rsid w:val="007D2B44"/>
    <w:rsid w:val="008456ED"/>
    <w:rsid w:val="0085362E"/>
    <w:rsid w:val="00867869"/>
    <w:rsid w:val="008823CC"/>
    <w:rsid w:val="008A2C0F"/>
    <w:rsid w:val="008C3070"/>
    <w:rsid w:val="0091122B"/>
    <w:rsid w:val="00914854"/>
    <w:rsid w:val="00936E36"/>
    <w:rsid w:val="009C40E4"/>
    <w:rsid w:val="009C46A8"/>
    <w:rsid w:val="009C5D8D"/>
    <w:rsid w:val="009C72A2"/>
    <w:rsid w:val="009D1639"/>
    <w:rsid w:val="009F2535"/>
    <w:rsid w:val="009F3DC2"/>
    <w:rsid w:val="00A05E37"/>
    <w:rsid w:val="00A12673"/>
    <w:rsid w:val="00A84EDB"/>
    <w:rsid w:val="00AB417D"/>
    <w:rsid w:val="00AE577C"/>
    <w:rsid w:val="00AF65BD"/>
    <w:rsid w:val="00B17D13"/>
    <w:rsid w:val="00B21CBB"/>
    <w:rsid w:val="00B25BDE"/>
    <w:rsid w:val="00B93931"/>
    <w:rsid w:val="00BC6808"/>
    <w:rsid w:val="00BE6E1C"/>
    <w:rsid w:val="00BF3755"/>
    <w:rsid w:val="00C032A8"/>
    <w:rsid w:val="00C26AB8"/>
    <w:rsid w:val="00C81537"/>
    <w:rsid w:val="00CB7554"/>
    <w:rsid w:val="00D000E6"/>
    <w:rsid w:val="00D161A0"/>
    <w:rsid w:val="00D209A1"/>
    <w:rsid w:val="00D757F3"/>
    <w:rsid w:val="00D95046"/>
    <w:rsid w:val="00DB2887"/>
    <w:rsid w:val="00DE2552"/>
    <w:rsid w:val="00E07218"/>
    <w:rsid w:val="00E948AA"/>
    <w:rsid w:val="00E974CB"/>
    <w:rsid w:val="00ED4444"/>
    <w:rsid w:val="00EE1983"/>
    <w:rsid w:val="00F01F9F"/>
    <w:rsid w:val="00F31428"/>
    <w:rsid w:val="00F32F37"/>
    <w:rsid w:val="00F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6009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E4"/>
    <w:pPr>
      <w:spacing w:before="140" w:after="140"/>
      <w:jc w:val="center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C40E4"/>
    <w:rPr>
      <w:rFonts w:ascii="Times New Roman" w:hAnsi="Times New Roman" w:cs="Times New Roman"/>
      <w:b/>
      <w:i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3B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8F42-A10C-44E3-AC0D-01AFE6CA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28</Pages>
  <Words>4794</Words>
  <Characters>27328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81</cp:revision>
  <dcterms:created xsi:type="dcterms:W3CDTF">2021-05-08T15:09:00Z</dcterms:created>
  <dcterms:modified xsi:type="dcterms:W3CDTF">2021-05-13T20:55:00Z</dcterms:modified>
</cp:coreProperties>
</file>