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E1265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>
              <w:t>OntoNet</w:t>
            </w:r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E1265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E1265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E1265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E1265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E1265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E1265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r>
              <w:t>GraphQL</w:t>
            </w:r>
            <w:r>
              <w:rPr>
                <w:lang w:val="ru-RU"/>
              </w:rPr>
              <w:t>.</w:t>
            </w:r>
          </w:p>
        </w:tc>
      </w:tr>
      <w:tr w:rsidR="006A5DF7" w:rsidRPr="00E1265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r>
              <w:t>Reasoner</w:t>
            </w:r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E1265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E1265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E1265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E126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E126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t>term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E126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E1265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E1265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E1265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E1265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E1265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E1265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r w:rsidR="00094060">
              <w:t>basisSets</w:t>
            </w:r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r>
              <w:t>basisSets</w:t>
            </w:r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r>
              <w:t>BasisSet</w:t>
            </w:r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t>BasisSet</w:t>
            </w:r>
            <w:r w:rsidRPr="00982569">
              <w:rPr>
                <w:lang w:val="ru-RU"/>
              </w:rPr>
              <w:t>(</w:t>
            </w:r>
            <w:r>
              <w:t>tokenColorSetConstructorData</w:t>
            </w:r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E1265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r>
              <w:t>basisSet</w:t>
            </w:r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E1265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r>
              <w:t>basisSet</w:t>
            </w:r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“prop/const”: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“1/var”: “obj”,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“[constant_value + 1, 2, 9 % 3]”,</w:t>
            </w:r>
          </w:p>
          <w:p w:rsidR="00BE275F" w:rsidRPr="006F6FF2" w:rsidRDefault="0014341D" w:rsidP="00BE275F">
            <w:r w:rsidRPr="006F6FF2">
              <w:t xml:space="preserve">  “/</w:t>
            </w:r>
            <w:r>
              <w:t>var</w:t>
            </w:r>
            <w:r w:rsidRPr="006F6FF2">
              <w:t>”: “</w:t>
            </w:r>
            <w:r>
              <w:t>arr</w:t>
            </w:r>
            <w:r w:rsidRPr="006F6FF2">
              <w:t>”</w:t>
            </w:r>
            <w:r w:rsidR="00BE275F" w:rsidRPr="006F6FF2">
              <w:t>,</w:t>
            </w:r>
          </w:p>
          <w:p w:rsidR="00B552B3" w:rsidRPr="00B552B3" w:rsidRDefault="00B552B3" w:rsidP="00BE275F">
            <w:r w:rsidRPr="00B552B3">
              <w:t xml:space="preserve">  </w:t>
            </w:r>
            <w:r>
              <w:t>“/const”: “constant_value”</w:t>
            </w:r>
            <w:r w:rsidR="00184506">
              <w:t>,</w:t>
            </w:r>
            <w:r>
              <w:t xml:space="preserve"> // compare only</w:t>
            </w:r>
          </w:p>
          <w:p w:rsidR="00BE275F" w:rsidRPr="00B552B3" w:rsidRDefault="00BE275F" w:rsidP="00BE275F">
            <w:r>
              <w:t xml:space="preserve">  “/expr”: “func_call(arr)”</w:t>
            </w:r>
            <w:r w:rsidR="00B552B3">
              <w:t xml:space="preserve"> // keeps parsing</w:t>
            </w:r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E1265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E1265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r>
              <w:t>basisSet</w:t>
            </w:r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E1265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r>
              <w:t>BasisSet</w:t>
            </w:r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E1265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E1265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r>
              <w:t>ColorSet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r>
              <w:t>typeof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r>
              <w:t xml:space="preserve">instanceOf </w:t>
            </w:r>
            <w:r w:rsidR="00B11871">
              <w:t xml:space="preserve">=== </w:t>
            </w:r>
            <w:r>
              <w:t>ColorConstructor</w:t>
            </w:r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E1265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E1265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E1265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E1265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OperatorApplication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E1265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 w:rsidR="00D33CCB">
              <w:t>Operation</w:t>
            </w:r>
            <w:r>
              <w:t>Evaluation</w:t>
            </w:r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E1265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E1265E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E1265E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E1265E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E1265E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 начальные маркировки позиций</w:t>
            </w:r>
            <w:r w:rsidR="00E1265E">
              <w:rPr>
                <w:lang w:val="ru-RU"/>
              </w:rPr>
              <w:t>, мультимножества</w:t>
            </w:r>
            <w:r>
              <w:rPr>
                <w:lang w:val="ru-RU"/>
              </w:rPr>
              <w:t>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E1265E" w:rsidRPr="00E1265E" w:rsidTr="006A5DF7">
        <w:tc>
          <w:tcPr>
            <w:tcW w:w="4675" w:type="dxa"/>
          </w:tcPr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подробно выглядит процесс формирования </w:t>
            </w:r>
            <w:r>
              <w:t>transition</w:t>
            </w:r>
            <w:r w:rsidRPr="00E1265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в чем заключается проблема?</w:t>
            </w:r>
          </w:p>
        </w:tc>
        <w:tc>
          <w:tcPr>
            <w:tcW w:w="4675" w:type="dxa"/>
          </w:tcPr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входной дуги получаются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t>basisSet</w:t>
            </w:r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ее аннотации, а также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содержимое </w:t>
            </w:r>
            <w:r>
              <w:t>basisSet</w:t>
            </w:r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 маркировок входных позиций.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>В рамках связывания переменных аннотации со значениями токенов необходимо определить всевозможные перестановки выбираемых для перехода токенов.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части аннотации находятся все подходящие токены (связывание по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t>basisSet</w:t>
            </w:r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ов)</w:t>
            </w:r>
          </w:p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этого с помощью </w:t>
            </w:r>
            <w:r>
              <w:t>SPARQL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достигается непротиворечивое нахождение комбинаций значений сначала в рамках пары дуга-позиция, а затем в рамках всех входных дуг.</w:t>
            </w:r>
            <w:bookmarkStart w:id="0" w:name="_GoBack"/>
            <w:bookmarkEnd w:id="0"/>
          </w:p>
        </w:tc>
      </w:tr>
      <w:tr w:rsidR="00F55ABE" w:rsidRPr="00E1265E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E1265E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 xml:space="preserve">-запрос, то как </w:t>
            </w:r>
            <w:r>
              <w:rPr>
                <w:lang w:val="ru-RU"/>
              </w:rPr>
              <w:lastRenderedPageBreak/>
              <w:t>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Вероятно, дескриптор должен включать в себя фрагмент этого запроса, касающийся разрешенности. Т.е. по соглашению переход </w:t>
            </w:r>
            <w:r>
              <w:rPr>
                <w:lang w:val="ru-RU"/>
              </w:rPr>
              <w:lastRenderedPageBreak/>
              <w:t xml:space="preserve">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E1265E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E1265E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E1265E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E1265E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E1265E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E1265E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E1265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r>
              <w:t>ABox</w:t>
            </w:r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E1265E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r>
              <w:t>TBox</w:t>
            </w:r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hyperlink r:id="rId5" w:history="1">
              <w:r w:rsidR="00673D8A" w:rsidRPr="00C95A15">
                <w:rPr>
                  <w:rStyle w:val="Hyperlink"/>
                  <w:lang w:val="ru-RU"/>
                </w:rPr>
                <w:t>https://www.w3.org/2002/07/owl</w:t>
              </w:r>
            </w:hyperlink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r>
              <w:t>TBox</w:t>
            </w:r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E1265E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E1265E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E1265E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E1265E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E1265E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E1265E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E1265E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E1265E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E1265E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E1265E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E1265E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E1265E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E1265E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E1265E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E1265E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E1265E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E1265E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E1265E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E1265E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E1265E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E1265E" w:rsidTr="006A5DF7">
        <w:tc>
          <w:tcPr>
            <w:tcW w:w="4675" w:type="dxa"/>
          </w:tcPr>
          <w:p w:rsidR="00754033" w:rsidRPr="00712BE9" w:rsidRDefault="00712BE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можно абстрагировать формирование структуры сети на основе ответа на </w:t>
            </w:r>
            <w:r>
              <w:t>reasoning</w:t>
            </w:r>
            <w:r w:rsidRPr="00712BE9">
              <w:rPr>
                <w:lang w:val="ru-RU"/>
              </w:rPr>
              <w:t>-</w:t>
            </w:r>
            <w:r>
              <w:t>select</w:t>
            </w:r>
            <w:r w:rsidRPr="00712B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запрос?</w:t>
            </w:r>
          </w:p>
        </w:tc>
        <w:tc>
          <w:tcPr>
            <w:tcW w:w="4675" w:type="dxa"/>
          </w:tcPr>
          <w:p w:rsidR="00754033" w:rsidRPr="00AA101E" w:rsidRDefault="00AA101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Имена и места использования полей ответа можно указать в файле-дескрипторе. При этом, такую информацию не стоит зашивать в сам </w:t>
            </w:r>
            <w:r>
              <w:t>SPARQL</w:t>
            </w:r>
            <w:r>
              <w:rPr>
                <w:lang w:val="ru-RU"/>
              </w:rPr>
              <w:t>-запрос по принципу разделения ответственности</w:t>
            </w:r>
          </w:p>
        </w:tc>
      </w:tr>
      <w:tr w:rsidR="00754033" w:rsidRPr="00E1265E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E1265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E126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E126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E126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E126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E1265E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12BE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A101E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265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4E8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.org/2002/07/ow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34674-872F-48D1-9CDB-2B73B8D1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12</Pages>
  <Words>3306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148</cp:revision>
  <dcterms:created xsi:type="dcterms:W3CDTF">2021-01-27T20:57:00Z</dcterms:created>
  <dcterms:modified xsi:type="dcterms:W3CDTF">2021-03-18T20:17:00Z</dcterms:modified>
</cp:coreProperties>
</file>