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56"/>
        </w:rPr>
        <w:t>Auto-Transfer Safe → EOA</w:t>
        <w:br/>
        <w:t>for Native Gas Funding</w:t>
      </w:r>
    </w:p>
    <w:p/>
    <w:p>
      <w:pPr>
        <w:jc w:val="center"/>
      </w:pPr>
      <w:r>
        <w:rPr>
          <w:color w:val="595959"/>
          <w:sz w:val="32"/>
        </w:rPr>
        <w:t>Working Document</w:t>
      </w:r>
    </w:p>
    <w:p/>
    <w:p>
      <w:pPr>
        <w:jc w:val="center"/>
      </w:pPr>
      <w:r>
        <w:rPr>
          <w:color w:val="787878"/>
          <w:sz w:val="22"/>
        </w:rPr>
        <w:t>Status: Draft</w:t>
        <w:br/>
        <w:t>Date: 2026-03-18</w:t>
        <w:br/>
        <w:t>Repo: valory-xyz/funds-manager</w:t>
      </w:r>
    </w:p>
    <w:p>
      <w:r>
        <w:br w:type="page"/>
      </w:r>
    </w:p>
    <w:p>
      <w:pPr>
        <w:pStyle w:val="Heading1"/>
      </w:pPr>
      <w:r>
        <w:t>Table of Contents</w:t>
      </w:r>
    </w:p>
    <w:p>
      <w:pPr>
        <w:spacing w:before="80" w:after="40"/>
      </w:pPr>
      <w:r>
        <w:rPr>
          <w:sz w:val="22"/>
        </w:rPr>
        <w:t>1. Problem Statement</w:t>
      </w:r>
    </w:p>
    <w:p>
      <w:pPr>
        <w:spacing w:before="80" w:after="40"/>
      </w:pPr>
      <w:r>
        <w:rPr>
          <w:sz w:val="22"/>
        </w:rPr>
        <w:t>2. Current Architecture</w:t>
      </w:r>
    </w:p>
    <w:p>
      <w:pPr>
        <w:spacing w:before="80" w:after="40"/>
      </w:pPr>
      <w:r>
        <w:rPr>
          <w:sz w:val="22"/>
        </w:rPr>
        <w:t>3. Proposed Solution</w:t>
      </w:r>
    </w:p>
    <w:p>
      <w:pPr>
        <w:spacing w:before="80" w:after="40"/>
      </w:pPr>
      <w:r>
        <w:rPr>
          <w:sz w:val="22"/>
        </w:rPr>
        <w:t>4. How It Works — End-to-End</w:t>
      </w:r>
    </w:p>
    <w:p>
      <w:pPr>
        <w:spacing w:before="80" w:after="40"/>
      </w:pPr>
      <w:r>
        <w:rPr>
          <w:sz w:val="22"/>
        </w:rPr>
        <w:t>5. Impact on Each Agent</w:t>
      </w:r>
    </w:p>
    <w:p>
      <w:pPr>
        <w:spacing w:before="80" w:after="40"/>
      </w:pPr>
      <w:r>
        <w:rPr>
          <w:sz w:val="22"/>
        </w:rPr>
        <w:t>6. What Changes, What Doesn't</w:t>
      </w:r>
    </w:p>
    <w:p>
      <w:pPr>
        <w:spacing w:before="80" w:after="40"/>
      </w:pPr>
      <w:r>
        <w:rPr>
          <w:sz w:val="22"/>
        </w:rPr>
        <w:t>7. Configuration Changes</w:t>
      </w:r>
    </w:p>
    <w:p>
      <w:pPr>
        <w:spacing w:before="80" w:after="40"/>
      </w:pPr>
      <w:r>
        <w:rPr>
          <w:sz w:val="22"/>
        </w:rPr>
        <w:t>8. Implementation Plan</w:t>
      </w:r>
    </w:p>
    <w:p>
      <w:pPr>
        <w:spacing w:before="80" w:after="40"/>
      </w:pPr>
      <w:r>
        <w:rPr>
          <w:sz w:val="22"/>
        </w:rPr>
        <w:t>9. Edge Cases &amp; Mitigations</w:t>
      </w:r>
    </w:p>
    <w:p>
      <w:pPr>
        <w:spacing w:before="80" w:after="40"/>
      </w:pPr>
      <w:r>
        <w:rPr>
          <w:sz w:val="22"/>
        </w:rPr>
        <w:t>10. Decisions Made</w:t>
      </w:r>
    </w:p>
    <w:p>
      <w:r>
        <w:br w:type="page"/>
      </w:r>
    </w:p>
    <w:p>
      <w:pPr>
        <w:pStyle w:val="Heading1"/>
      </w:pPr>
      <w:r>
        <w:t>1. Problem Statement</w:t>
      </w:r>
    </w:p>
    <w:p>
      <w:r>
        <w:t>Pearl's agent wallet uses two separate addresses under the hood: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spacing w:before="40" w:after="40"/>
            </w:pPr>
            <w:r>
              <w:rPr>
                <w:b/>
                <w:color w:val="FFFFFF"/>
                <w:sz w:val="18"/>
              </w:rPr>
            </w:r>
          </w:p>
        </w:tc>
        <w:tc>
          <w:tcPr>
            <w:tcW w:type="dxa" w:w="3135"/>
            <w:shd w:fill="2F5496" w:val="clear"/>
          </w:tcPr>
          <w:p>
            <w:pPr>
              <w:spacing w:before="40" w:after="40"/>
            </w:pPr>
            <w:r>
              <w:rPr>
                <w:b/>
                <w:color w:val="FFFFFF"/>
                <w:sz w:val="18"/>
              </w:rPr>
              <w:t>Agent EOA</w:t>
            </w:r>
          </w:p>
        </w:tc>
        <w:tc>
          <w:tcPr>
            <w:tcW w:type="dxa" w:w="3135"/>
            <w:shd w:fill="2F5496" w:val="clear"/>
          </w:tcPr>
          <w:p>
            <w:pPr>
              <w:spacing w:before="40" w:after="40"/>
            </w:pPr>
            <w:r>
              <w:rPr>
                <w:b/>
                <w:color w:val="FFFFFF"/>
                <w:sz w:val="18"/>
              </w:rPr>
              <w:t>Agent Safe</w:t>
            </w:r>
          </w:p>
        </w:tc>
      </w:tr>
      <w:tr>
        <w:tc>
          <w:tcPr>
            <w:tcW w:type="dxa" w:w="3135"/>
            <w:shd w:fill="2F5496" w:val="clear"/>
          </w:tcPr>
          <w:p>
            <w:pPr>
              <w:spacing w:before="40" w:after="40"/>
            </w:pPr>
            <w:r>
              <w:rPr>
                <w:b/>
                <w:color w:val="FFFFFF"/>
                <w:sz w:val="18"/>
              </w:rPr>
            </w:r>
          </w:p>
        </w:tc>
        <w:tc>
          <w:tcPr>
            <w:tcW w:type="dxa" w:w="3135"/>
            <w:shd w:fill="2F5496" w:val="clear"/>
          </w:tcPr>
          <w:p>
            <w:pPr>
              <w:spacing w:before="40" w:after="40"/>
            </w:pPr>
            <w:r>
              <w:rPr>
                <w:b/>
                <w:color w:val="FFFFFF"/>
                <w:sz w:val="18"/>
              </w:rPr>
              <w:t>Agent EOA</w:t>
            </w:r>
          </w:p>
        </w:tc>
        <w:tc>
          <w:tcPr>
            <w:tcW w:type="dxa" w:w="3135"/>
            <w:shd w:fill="2F5496" w:val="clear"/>
          </w:tcPr>
          <w:p>
            <w:pPr>
              <w:spacing w:before="40" w:after="40"/>
            </w:pPr>
            <w:r>
              <w:rPr>
                <w:b/>
                <w:color w:val="FFFFFF"/>
                <w:sz w:val="18"/>
              </w:rPr>
              <w:t>Agent Safe</w:t>
            </w:r>
          </w:p>
        </w:tc>
      </w:tr>
      <w:tr>
        <w:tc>
          <w:tcPr>
            <w:tcW w:type="dxa" w:w="3135"/>
          </w:tcPr>
          <w:p>
            <w:pPr>
              <w:spacing w:before="40" w:after="40"/>
            </w:pPr>
            <w:r>
              <w:rPr>
                <w:sz w:val="18"/>
              </w:rPr>
              <w:t>Purpose</w:t>
            </w:r>
          </w:p>
        </w:tc>
        <w:tc>
          <w:tcPr>
            <w:tcW w:type="dxa" w:w="3135"/>
          </w:tcPr>
          <w:p>
            <w:pPr>
              <w:spacing w:before="40" w:after="40"/>
            </w:pPr>
            <w:r>
              <w:rPr>
                <w:sz w:val="18"/>
              </w:rPr>
              <w:t>Gas wallet — submits transactions</w:t>
            </w:r>
          </w:p>
        </w:tc>
        <w:tc>
          <w:tcPr>
            <w:tcW w:type="dxa" w:w="3135"/>
          </w:tcPr>
          <w:p>
            <w:pPr>
              <w:spacing w:before="40" w:after="40"/>
            </w:pPr>
            <w:r>
              <w:rPr>
                <w:sz w:val="18"/>
              </w:rPr>
              <w:t>Funds wallet — holds operating capital</w:t>
            </w:r>
          </w:p>
        </w:tc>
      </w:tr>
      <w:tr>
        <w:tc>
          <w:tcPr>
            <w:tcW w:type="dxa" w:w="3135"/>
          </w:tcPr>
          <w:p>
            <w:pPr>
              <w:spacing w:before="40" w:after="40"/>
            </w:pPr>
            <w:r>
              <w:rPr>
                <w:sz w:val="18"/>
              </w:rPr>
              <w:t>Funded by</w:t>
            </w:r>
          </w:p>
        </w:tc>
        <w:tc>
          <w:tcPr>
            <w:tcW w:type="dxa" w:w="3135"/>
          </w:tcPr>
          <w:p>
            <w:pPr>
              <w:spacing w:before="40" w:after="40"/>
            </w:pPr>
            <w:r>
              <w:rPr>
                <w:sz w:val="18"/>
              </w:rPr>
              <w:t>Middleware (currently)</w:t>
            </w:r>
          </w:p>
        </w:tc>
        <w:tc>
          <w:tcPr>
            <w:tcW w:type="dxa" w:w="3135"/>
          </w:tcPr>
          <w:p>
            <w:pPr>
              <w:spacing w:before="40" w:after="40"/>
            </w:pPr>
            <w:r>
              <w:rPr>
                <w:sz w:val="18"/>
              </w:rPr>
              <w:t>User via Pearl UI</w:t>
            </w:r>
          </w:p>
        </w:tc>
      </w:tr>
      <w:tr>
        <w:tc>
          <w:tcPr>
            <w:tcW w:type="dxa" w:w="3135"/>
          </w:tcPr>
          <w:p>
            <w:pPr>
              <w:spacing w:before="40" w:after="40"/>
            </w:pPr>
            <w:r>
              <w:rPr>
                <w:sz w:val="18"/>
              </w:rPr>
              <w:t>Visible to user?</w:t>
            </w:r>
          </w:p>
        </w:tc>
        <w:tc>
          <w:tcPr>
            <w:tcW w:type="dxa" w:w="3135"/>
          </w:tcPr>
          <w:p>
            <w:pPr>
              <w:spacing w:before="40" w:after="40"/>
            </w:pPr>
            <w:r>
              <w:rPr>
                <w:sz w:val="18"/>
              </w:rPr>
              <w:t>No (internal)</w:t>
            </w:r>
          </w:p>
        </w:tc>
        <w:tc>
          <w:tcPr>
            <w:tcW w:type="dxa" w:w="3135"/>
          </w:tcPr>
          <w:p>
            <w:pPr>
              <w:spacing w:before="40" w:after="40"/>
            </w:pPr>
            <w:r>
              <w:rPr>
                <w:sz w:val="18"/>
              </w:rPr>
              <w:t>Yes ("the wallet")</w:t>
            </w:r>
          </w:p>
        </w:tc>
      </w:tr>
    </w:tbl>
    <w:p/>
    <w:p>
      <w:pPr>
        <w:pStyle w:val="Heading2"/>
      </w:pPr>
      <w:r>
        <w:t>What the User Experiences</w:t>
      </w:r>
    </w:p>
    <w:p>
      <w:pPr>
        <w:pStyle w:val="ListBullet"/>
      </w:pPr>
      <w:r>
        <w:t>The Agent EOA drains to ~0 native tokens (e.g., POL on Polygon). This is accelerated by x402 payment usage.</w:t>
      </w:r>
    </w:p>
    <w:p>
      <w:pPr>
        <w:pStyle w:val="ListBullet"/>
      </w:pPr>
      <w:r>
        <w:t>Meanwhile, the Agent Safe still holds native tokens — e.g., 50 POL.</w:t>
      </w:r>
    </w:p>
    <w:p>
      <w:pPr>
        <w:pStyle w:val="ListBullet"/>
      </w:pPr>
      <w:r>
        <w:t>Pearl shows an alert: "Fund your agent with 30 POL".</w:t>
      </w:r>
    </w:p>
    <w:p>
      <w:pPr>
        <w:pStyle w:val="ListBullet"/>
      </w:pPr>
      <w:r>
        <w:t>The user opens their wallet and sees 50 POL already there.</w:t>
      </w:r>
    </w:p>
    <w:p>
      <w:pPr>
        <w:pStyle w:val="ListBullet"/>
      </w:pPr>
      <w:r>
        <w:t>Result: The user believes they've already funded the agent. The agent appears "running" but cannot execute any transactions.</w:t>
      </w:r>
    </w:p>
    <w:p>
      <w:pPr>
        <w:pStyle w:val="Heading2"/>
      </w:pPr>
      <w:r>
        <w:t>Root Cause</w:t>
      </w:r>
    </w:p>
    <w:p>
      <w:r>
        <w:t>The EOA and Safe operate independently. When the EOA runs out of gas, it has no mechanism to draw from the Safe's funds. The user is asked to provide new funds even though sufficient funds already exist in the Safe.</w:t>
      </w:r>
    </w:p>
    <w:p>
      <w:pPr>
        <w:pStyle w:val="Heading2"/>
      </w:pPr>
      <w:r>
        <w:t>Goal</w:t>
      </w:r>
    </w:p>
    <w:p>
      <w:r>
        <w:rPr>
          <w:b/>
        </w:rPr>
        <w:t>When the Agent EOA is low on native gas, the agent should automatically transfer native tokens from Agent Safe → Agent EOA, without user intervention.</w:t>
      </w:r>
    </w:p>
    <w:p>
      <w:r>
        <w:br w:type="page"/>
      </w:r>
    </w:p>
    <w:p>
      <w:pPr>
        <w:pStyle w:val="Heading1"/>
      </w:pPr>
      <w:r>
        <w:t>2. Current Architecture</w:t>
      </w:r>
    </w:p>
    <w:p>
      <w:pPr>
        <w:pStyle w:val="Heading2"/>
      </w:pPr>
      <w:r>
        <w:t>Current Funding Flow</w:t>
      </w:r>
    </w:p>
    <w:p>
      <w:r>
        <w:rPr>
          <w:b/>
        </w:rPr>
        <w:t xml:space="preserve">Agent: </w:t>
      </w:r>
      <w:r>
        <w:t>The funds_manager skill queries on-chain balances via multicall. Computes deficit (topup − balance) for each token. Exposes results via the /funds-status HTTP endpoint.</w:t>
      </w:r>
    </w:p>
    <w:p>
      <w:r>
        <w:rPr>
          <w:b/>
        </w:rPr>
        <w:t xml:space="preserve">Middleware: </w:t>
      </w:r>
      <w:r>
        <w:t>Periodically polls /funds-status. If deficits exist, passes them to the frontend via /api/v2/service/{id}/funding_requirements.</w:t>
      </w:r>
    </w:p>
    <w:p>
      <w:r>
        <w:rPr>
          <w:b/>
        </w:rPr>
        <w:t xml:space="preserve">User: </w:t>
      </w:r>
      <w:r>
        <w:t>Sees a funding alert on the Pearl UI. Optionally adjusts amounts and approves.</w:t>
      </w:r>
    </w:p>
    <w:p>
      <w:r>
        <w:rPr>
          <w:b/>
        </w:rPr>
        <w:t xml:space="preserve">Frontend: </w:t>
      </w:r>
      <w:r>
        <w:t>Calls the middleware /fund endpoint with user-approved amounts.</w:t>
      </w:r>
    </w:p>
    <w:p>
      <w:r>
        <w:rPr>
          <w:b/>
        </w:rPr>
        <w:t xml:space="preserve">Middleware: </w:t>
      </w:r>
      <w:r>
        <w:t>Transfers from MasterSafe → Agent EOA and/or Agent Safe.</w:t>
      </w:r>
    </w:p>
    <w:p>
      <w:pPr>
        <w:pStyle w:val="Heading2"/>
      </w:pPr>
      <w:r>
        <w:t>Agents Using This Skill</w:t>
      </w:r>
    </w:p>
    <w:p>
      <w:r>
        <w:t>The funds_manager skill is consumed by four agents across four chains: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F5496" w:val="clear"/>
          </w:tcPr>
          <w:p>
            <w:pPr>
              <w:spacing w:before="40" w:after="40"/>
            </w:pPr>
            <w:r>
              <w:rPr>
                <w:b/>
                <w:color w:val="FFFFFF"/>
                <w:sz w:val="18"/>
              </w:rPr>
              <w:t>Agent</w:t>
            </w:r>
          </w:p>
        </w:tc>
        <w:tc>
          <w:tcPr>
            <w:tcW w:type="dxa" w:w="1881"/>
            <w:shd w:fill="2F5496" w:val="clear"/>
          </w:tcPr>
          <w:p>
            <w:pPr>
              <w:spacing w:before="40" w:after="40"/>
            </w:pPr>
            <w:r>
              <w:rPr>
                <w:b/>
                <w:color w:val="FFFFFF"/>
                <w:sz w:val="18"/>
              </w:rPr>
              <w:t>Chain</w:t>
            </w:r>
          </w:p>
        </w:tc>
        <w:tc>
          <w:tcPr>
            <w:tcW w:type="dxa" w:w="1881"/>
            <w:shd w:fill="2F5496" w:val="clear"/>
          </w:tcPr>
          <w:p>
            <w:pPr>
              <w:spacing w:before="40" w:after="40"/>
            </w:pPr>
            <w:r>
              <w:rPr>
                <w:b/>
                <w:color w:val="FFFFFF"/>
                <w:sz w:val="18"/>
              </w:rPr>
              <w:t>EOA Topup</w:t>
            </w:r>
          </w:p>
        </w:tc>
        <w:tc>
          <w:tcPr>
            <w:tcW w:type="dxa" w:w="1881"/>
            <w:shd w:fill="2F5496" w:val="clear"/>
          </w:tcPr>
          <w:p>
            <w:pPr>
              <w:spacing w:before="40" w:after="40"/>
            </w:pPr>
            <w:r>
              <w:rPr>
                <w:b/>
                <w:color w:val="FFFFFF"/>
                <w:sz w:val="18"/>
              </w:rPr>
              <w:t>Safe Topup</w:t>
            </w:r>
          </w:p>
        </w:tc>
        <w:tc>
          <w:tcPr>
            <w:tcW w:type="dxa" w:w="1881"/>
            <w:shd w:fill="2F5496" w:val="clear"/>
          </w:tcPr>
          <w:p>
            <w:pPr>
              <w:spacing w:before="40" w:after="40"/>
            </w:pPr>
            <w:r>
              <w:rPr>
                <w:b/>
                <w:color w:val="FFFFFF"/>
                <w:sz w:val="18"/>
              </w:rPr>
              <w:t>Safe Enabled?</w:t>
            </w:r>
          </w:p>
        </w:tc>
      </w:tr>
      <w:tr>
        <w:tc>
          <w:tcPr>
            <w:tcW w:type="dxa" w:w="1881"/>
            <w:shd w:fill="2F5496" w:val="clear"/>
          </w:tcPr>
          <w:p>
            <w:pPr>
              <w:spacing w:before="40" w:after="40"/>
            </w:pPr>
            <w:r>
              <w:rPr>
                <w:b/>
                <w:color w:val="FFFFFF"/>
                <w:sz w:val="18"/>
              </w:rPr>
              <w:t>Agent</w:t>
            </w:r>
          </w:p>
        </w:tc>
        <w:tc>
          <w:tcPr>
            <w:tcW w:type="dxa" w:w="1881"/>
            <w:shd w:fill="2F5496" w:val="clear"/>
          </w:tcPr>
          <w:p>
            <w:pPr>
              <w:spacing w:before="40" w:after="40"/>
            </w:pPr>
            <w:r>
              <w:rPr>
                <w:b/>
                <w:color w:val="FFFFFF"/>
                <w:sz w:val="18"/>
              </w:rPr>
              <w:t>Chain</w:t>
            </w:r>
          </w:p>
        </w:tc>
        <w:tc>
          <w:tcPr>
            <w:tcW w:type="dxa" w:w="1881"/>
            <w:shd w:fill="2F5496" w:val="clear"/>
          </w:tcPr>
          <w:p>
            <w:pPr>
              <w:spacing w:before="40" w:after="40"/>
            </w:pPr>
            <w:r>
              <w:rPr>
                <w:b/>
                <w:color w:val="FFFFFF"/>
                <w:sz w:val="18"/>
              </w:rPr>
              <w:t>EOA Topup</w:t>
            </w:r>
          </w:p>
        </w:tc>
        <w:tc>
          <w:tcPr>
            <w:tcW w:type="dxa" w:w="1881"/>
            <w:shd w:fill="2F5496" w:val="clear"/>
          </w:tcPr>
          <w:p>
            <w:pPr>
              <w:spacing w:before="40" w:after="40"/>
            </w:pPr>
            <w:r>
              <w:rPr>
                <w:b/>
                <w:color w:val="FFFFFF"/>
                <w:sz w:val="18"/>
              </w:rPr>
              <w:t>Safe Topup</w:t>
            </w:r>
          </w:p>
        </w:tc>
        <w:tc>
          <w:tcPr>
            <w:tcW w:type="dxa" w:w="1881"/>
            <w:shd w:fill="2F5496" w:val="clear"/>
          </w:tcPr>
          <w:p>
            <w:pPr>
              <w:spacing w:before="40" w:after="40"/>
            </w:pPr>
            <w:r>
              <w:rPr>
                <w:b/>
                <w:color w:val="FFFFFF"/>
                <w:sz w:val="18"/>
              </w:rPr>
              <w:t>Safe Enabled?</w:t>
            </w:r>
          </w:p>
        </w:tc>
      </w:tr>
      <w:tr>
        <w:tc>
          <w:tcPr>
            <w:tcW w:type="dxa" w:w="1881"/>
          </w:tcPr>
          <w:p>
            <w:pPr>
              <w:spacing w:before="40" w:after="40"/>
            </w:pPr>
            <w:r>
              <w:rPr>
                <w:sz w:val="18"/>
              </w:rPr>
              <w:t>Optimus</w:t>
            </w:r>
          </w:p>
        </w:tc>
        <w:tc>
          <w:tcPr>
            <w:tcW w:type="dxa" w:w="1881"/>
          </w:tcPr>
          <w:p>
            <w:pPr>
              <w:spacing w:before="40" w:after="40"/>
            </w:pPr>
            <w:r>
              <w:rPr>
                <w:sz w:val="18"/>
              </w:rPr>
              <w:t>Optimism</w:t>
            </w:r>
          </w:p>
        </w:tc>
        <w:tc>
          <w:tcPr>
            <w:tcW w:type="dxa" w:w="1881"/>
          </w:tcPr>
          <w:p>
            <w:pPr>
              <w:spacing w:before="40" w:after="40"/>
            </w:pPr>
            <w:r>
              <w:rPr>
                <w:sz w:val="18"/>
              </w:rPr>
              <w:t>0.0002 ETH</w:t>
            </w:r>
          </w:p>
        </w:tc>
        <w:tc>
          <w:tcPr>
            <w:tcW w:type="dxa" w:w="1881"/>
          </w:tcPr>
          <w:p>
            <w:pPr>
              <w:spacing w:before="40" w:after="40"/>
            </w:pPr>
            <w:r>
              <w:rPr>
                <w:sz w:val="18"/>
              </w:rPr>
              <w:t>0 (disabled)</w:t>
            </w:r>
          </w:p>
        </w:tc>
        <w:tc>
          <w:tcPr>
            <w:tcW w:type="dxa" w:w="1881"/>
          </w:tcPr>
          <w:p>
            <w:pPr>
              <w:spacing w:before="40" w:after="40"/>
            </w:pPr>
            <w:r>
              <w:rPr>
                <w:sz w:val="18"/>
              </w:rPr>
              <w:t>No</w:t>
            </w:r>
          </w:p>
        </w:tc>
      </w:tr>
      <w:tr>
        <w:tc>
          <w:tcPr>
            <w:tcW w:type="dxa" w:w="1881"/>
          </w:tcPr>
          <w:p>
            <w:pPr>
              <w:spacing w:before="40" w:after="40"/>
            </w:pPr>
            <w:r>
              <w:rPr>
                <w:sz w:val="18"/>
              </w:rPr>
              <w:t>Omenstrat</w:t>
            </w:r>
          </w:p>
        </w:tc>
        <w:tc>
          <w:tcPr>
            <w:tcW w:type="dxa" w:w="1881"/>
          </w:tcPr>
          <w:p>
            <w:pPr>
              <w:spacing w:before="40" w:after="40"/>
            </w:pPr>
            <w:r>
              <w:rPr>
                <w:sz w:val="18"/>
              </w:rPr>
              <w:t>Gnosis</w:t>
            </w:r>
          </w:p>
        </w:tc>
        <w:tc>
          <w:tcPr>
            <w:tcW w:type="dxa" w:w="1881"/>
          </w:tcPr>
          <w:p>
            <w:pPr>
              <w:spacing w:before="40" w:after="40"/>
            </w:pPr>
            <w:r>
              <w:rPr>
                <w:sz w:val="18"/>
              </w:rPr>
              <w:t>2.0 xDAI</w:t>
            </w:r>
          </w:p>
        </w:tc>
        <w:tc>
          <w:tcPr>
            <w:tcW w:type="dxa" w:w="1881"/>
          </w:tcPr>
          <w:p>
            <w:pPr>
              <w:spacing w:before="40" w:after="40"/>
            </w:pPr>
            <w:r>
              <w:rPr>
                <w:sz w:val="18"/>
              </w:rPr>
              <w:t>5.0 xDAI</w:t>
            </w:r>
          </w:p>
        </w:tc>
        <w:tc>
          <w:tcPr>
            <w:tcW w:type="dxa" w:w="1881"/>
          </w:tcPr>
          <w:p>
            <w:pPr>
              <w:spacing w:before="40" w:after="40"/>
            </w:pPr>
            <w:r>
              <w:rPr>
                <w:sz w:val="18"/>
              </w:rPr>
              <w:t>Yes</w:t>
            </w:r>
          </w:p>
        </w:tc>
      </w:tr>
      <w:tr>
        <w:tc>
          <w:tcPr>
            <w:tcW w:type="dxa" w:w="1881"/>
          </w:tcPr>
          <w:p>
            <w:pPr>
              <w:spacing w:before="40" w:after="40"/>
            </w:pPr>
            <w:r>
              <w:rPr>
                <w:sz w:val="18"/>
              </w:rPr>
              <w:t>Polystrat</w:t>
            </w:r>
          </w:p>
        </w:tc>
        <w:tc>
          <w:tcPr>
            <w:tcW w:type="dxa" w:w="1881"/>
          </w:tcPr>
          <w:p>
            <w:pPr>
              <w:spacing w:before="40" w:after="40"/>
            </w:pPr>
            <w:r>
              <w:rPr>
                <w:sz w:val="18"/>
              </w:rPr>
              <w:t>Polygon</w:t>
            </w:r>
          </w:p>
        </w:tc>
        <w:tc>
          <w:tcPr>
            <w:tcW w:type="dxa" w:w="1881"/>
          </w:tcPr>
          <w:p>
            <w:pPr>
              <w:spacing w:before="40" w:after="40"/>
            </w:pPr>
            <w:r>
              <w:rPr>
                <w:sz w:val="18"/>
              </w:rPr>
              <w:t>30.0 POL</w:t>
            </w:r>
          </w:p>
        </w:tc>
        <w:tc>
          <w:tcPr>
            <w:tcW w:type="dxa" w:w="1881"/>
          </w:tcPr>
          <w:p>
            <w:pPr>
              <w:spacing w:before="40" w:after="40"/>
            </w:pPr>
            <w:r>
              <w:rPr>
                <w:sz w:val="18"/>
              </w:rPr>
              <w:t>40.0 POL</w:t>
            </w:r>
          </w:p>
        </w:tc>
        <w:tc>
          <w:tcPr>
            <w:tcW w:type="dxa" w:w="1881"/>
          </w:tcPr>
          <w:p>
            <w:pPr>
              <w:spacing w:before="40" w:after="40"/>
            </w:pPr>
            <w:r>
              <w:rPr>
                <w:sz w:val="18"/>
              </w:rPr>
              <w:t>Yes</w:t>
            </w:r>
          </w:p>
        </w:tc>
      </w:tr>
      <w:tr>
        <w:tc>
          <w:tcPr>
            <w:tcW w:type="dxa" w:w="1881"/>
          </w:tcPr>
          <w:p>
            <w:pPr>
              <w:spacing w:before="40" w:after="40"/>
            </w:pPr>
            <w:r>
              <w:rPr>
                <w:sz w:val="18"/>
              </w:rPr>
              <w:t>Agents Fun</w:t>
            </w:r>
          </w:p>
        </w:tc>
        <w:tc>
          <w:tcPr>
            <w:tcW w:type="dxa" w:w="1881"/>
          </w:tcPr>
          <w:p>
            <w:pPr>
              <w:spacing w:before="40" w:after="40"/>
            </w:pPr>
            <w:r>
              <w:rPr>
                <w:sz w:val="18"/>
              </w:rPr>
              <w:t>Base</w:t>
            </w:r>
          </w:p>
        </w:tc>
        <w:tc>
          <w:tcPr>
            <w:tcW w:type="dxa" w:w="1881"/>
          </w:tcPr>
          <w:p>
            <w:pPr>
              <w:spacing w:before="40" w:after="40"/>
            </w:pPr>
            <w:r>
              <w:rPr>
                <w:sz w:val="18"/>
              </w:rPr>
              <w:t>~0.000326 ETH</w:t>
            </w:r>
          </w:p>
        </w:tc>
        <w:tc>
          <w:tcPr>
            <w:tcW w:type="dxa" w:w="1881"/>
          </w:tcPr>
          <w:p>
            <w:pPr>
              <w:spacing w:before="40" w:after="40"/>
            </w:pPr>
            <w:r>
              <w:rPr>
                <w:sz w:val="18"/>
              </w:rPr>
              <w:t>~0.001629 ETH</w:t>
            </w:r>
          </w:p>
        </w:tc>
        <w:tc>
          <w:tcPr>
            <w:tcW w:type="dxa" w:w="1881"/>
          </w:tcPr>
          <w:p>
            <w:pPr>
              <w:spacing w:before="40" w:after="40"/>
            </w:pPr>
            <w:r>
              <w:rPr>
                <w:sz w:val="18"/>
              </w:rPr>
              <w:t>Yes</w:t>
            </w:r>
          </w:p>
        </w:tc>
      </w:tr>
    </w:tbl>
    <w:p/>
    <w:p>
      <w:pPr>
        <w:pStyle w:val="Heading2"/>
      </w:pPr>
      <w:r>
        <w:t>Per-Agent Customizations (Unchanged)</w:t>
      </w:r>
    </w:p>
    <w:p>
      <w:r>
        <w:t>Each agent's HTTP handler applies additional logic after calling the funds_manager skill. These customizations remain in each agent's codebase and are not affected by this proposal. There are two types:</w:t>
      </w:r>
    </w:p>
    <w:p>
      <w:r>
        <w:rPr>
          <w:b/>
        </w:rPr>
        <w:t>Balance Adjustments (read-only, no on-chain action):</w:t>
      </w:r>
    </w:p>
    <w:p>
      <w:pPr>
        <w:pStyle w:val="ListBullet"/>
      </w:pPr>
      <w:r>
        <w:t>Omenstrat: wxDAI balance folded into native xDAI (1:1 peg) for Safe deficit calculation.</w:t>
      </w:r>
    </w:p>
    <w:p>
      <w:pPr>
        <w:pStyle w:val="ListBullet"/>
      </w:pPr>
      <w:r>
        <w:t>Polystrat: USDC balance converted to POL-equivalent via CoinGecko exchange rate, folded into POL for Safe deficit calculation.</w:t>
      </w:r>
    </w:p>
    <w:p>
      <w:r>
        <w:rPr>
          <w:b/>
        </w:rPr>
        <w:t>x402 USDC Swap (on-chain EOA transaction, all agents):</w:t>
      </w:r>
    </w:p>
    <w:p>
      <w:pPr>
        <w:pStyle w:val="ListBullet"/>
      </w:pPr>
      <w:r>
        <w:t>All four agents support x402 payments. When enabled, each /funds-status poll triggers an ETH→USDC swap via LiFi in a background thread, executed from the EOA (not the Safe).</w:t>
      </w:r>
    </w:p>
    <w:p>
      <w:pPr>
        <w:pStyle w:val="ListBullet"/>
      </w:pPr>
      <w:r>
        <w:t>If the swap fails, Optimus, Omenstrat, and Polystrat inject the ETH cost into the /funds-status response so MW funds the EOA with extra ETH. Agents Fun does not inject on failure.</w:t>
      </w:r>
    </w:p>
    <w:p>
      <w:pPr>
        <w:pStyle w:val="ListBullet"/>
      </w:pPr>
      <w:r>
        <w:t>Optimus also has withdrawal mode logic that overrides the /funds-status response with minimal per-action gas deficits.</w:t>
      </w:r>
    </w:p>
    <w:p>
      <w:r>
        <w:br w:type="page"/>
      </w:r>
    </w:p>
    <w:p>
      <w:pPr>
        <w:pStyle w:val="Heading1"/>
      </w:pPr>
      <w:r>
        <w:t>3. Proposed Solution</w:t>
      </w:r>
    </w:p>
    <w:p>
      <w:pPr>
        <w:pStyle w:val="Heading2"/>
      </w:pPr>
      <w:r>
        <w:t>Overview</w:t>
      </w:r>
    </w:p>
    <w:p>
      <w:r>
        <w:t>Add an auto-transfer capability to the funds_manager skill. When the Agent EOA's native token balance drops below a configured threshold, a new FSM round automatically transfers native tokens from the Agent Safe to the Agent EOA — without any user action.</w:t>
      </w:r>
    </w:p>
    <w:p>
      <w:pPr>
        <w:pStyle w:val="Heading2"/>
      </w:pPr>
      <w:r>
        <w:t>Two Independent Systems, One Skill</w:t>
      </w:r>
    </w:p>
    <w:p>
      <w:r>
        <w:t>The solution adds a new FSM component alongside the existing balance-checking behaviour. They operate independently within the same skill: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spacing w:before="40" w:after="40"/>
            </w:pPr>
            <w:r>
              <w:rPr>
                <w:b/>
                <w:color w:val="FFFFFF"/>
                <w:sz w:val="18"/>
              </w:rPr>
              <w:t>Component</w:t>
            </w:r>
          </w:p>
        </w:tc>
        <w:tc>
          <w:tcPr>
            <w:tcW w:type="dxa" w:w="3135"/>
            <w:shd w:fill="2F5496" w:val="clear"/>
          </w:tcPr>
          <w:p>
            <w:pPr>
              <w:spacing w:before="40" w:after="40"/>
            </w:pPr>
            <w:r>
              <w:rPr>
                <w:b/>
                <w:color w:val="FFFFFF"/>
                <w:sz w:val="18"/>
              </w:rPr>
              <w:t>Purpose</w:t>
            </w:r>
          </w:p>
        </w:tc>
        <w:tc>
          <w:tcPr>
            <w:tcW w:type="dxa" w:w="3135"/>
            <w:shd w:fill="2F5496" w:val="clear"/>
          </w:tcPr>
          <w:p>
            <w:pPr>
              <w:spacing w:before="40" w:after="40"/>
            </w:pPr>
            <w:r>
              <w:rPr>
                <w:b/>
                <w:color w:val="FFFFFF"/>
                <w:sz w:val="18"/>
              </w:rPr>
              <w:t>Changes?</w:t>
            </w:r>
          </w:p>
        </w:tc>
      </w:tr>
      <w:tr>
        <w:tc>
          <w:tcPr>
            <w:tcW w:type="dxa" w:w="3135"/>
            <w:shd w:fill="2F5496" w:val="clear"/>
          </w:tcPr>
          <w:p>
            <w:pPr>
              <w:spacing w:before="40" w:after="40"/>
            </w:pPr>
            <w:r>
              <w:rPr>
                <w:b/>
                <w:color w:val="FFFFFF"/>
                <w:sz w:val="18"/>
              </w:rPr>
              <w:t>Component</w:t>
            </w:r>
          </w:p>
        </w:tc>
        <w:tc>
          <w:tcPr>
            <w:tcW w:type="dxa" w:w="3135"/>
            <w:shd w:fill="2F5496" w:val="clear"/>
          </w:tcPr>
          <w:p>
            <w:pPr>
              <w:spacing w:before="40" w:after="40"/>
            </w:pPr>
            <w:r>
              <w:rPr>
                <w:b/>
                <w:color w:val="FFFFFF"/>
                <w:sz w:val="18"/>
              </w:rPr>
              <w:t>Purpose</w:t>
            </w:r>
          </w:p>
        </w:tc>
        <w:tc>
          <w:tcPr>
            <w:tcW w:type="dxa" w:w="3135"/>
            <w:shd w:fill="2F5496" w:val="clear"/>
          </w:tcPr>
          <w:p>
            <w:pPr>
              <w:spacing w:before="40" w:after="40"/>
            </w:pPr>
            <w:r>
              <w:rPr>
                <w:b/>
                <w:color w:val="FFFFFF"/>
                <w:sz w:val="18"/>
              </w:rPr>
              <w:t>Changes?</w:t>
            </w:r>
          </w:p>
        </w:tc>
      </w:tr>
      <w:tr>
        <w:tc>
          <w:tcPr>
            <w:tcW w:type="dxa" w:w="3135"/>
          </w:tcPr>
          <w:p>
            <w:pPr>
              <w:spacing w:before="40" w:after="40"/>
            </w:pPr>
            <w:r>
              <w:rPr>
                <w:sz w:val="18"/>
              </w:rPr>
              <w:t>FundsManagerBehaviour</w:t>
              <w:br/>
              <w:t>(existing)</w:t>
            </w:r>
          </w:p>
        </w:tc>
        <w:tc>
          <w:tcPr>
            <w:tcW w:type="dxa" w:w="3135"/>
          </w:tcPr>
          <w:p>
            <w:pPr>
              <w:spacing w:before="40" w:after="40"/>
            </w:pPr>
            <w:r>
              <w:rPr>
                <w:sz w:val="18"/>
              </w:rPr>
              <w:t>Reads balances, computes deficits, serves /funds-status to middleware</w:t>
            </w:r>
          </w:p>
        </w:tc>
        <w:tc>
          <w:tcPr>
            <w:tcW w:type="dxa" w:w="3135"/>
          </w:tcPr>
          <w:p>
            <w:pPr>
              <w:spacing w:before="40" w:after="40"/>
            </w:pPr>
            <w:r>
              <w:rPr>
                <w:sz w:val="18"/>
              </w:rPr>
              <w:t>No code changes.</w:t>
              <w:br/>
              <w:t>Only config changes (EOA threshold lowered).</w:t>
            </w:r>
          </w:p>
        </w:tc>
      </w:tr>
      <w:tr>
        <w:tc>
          <w:tcPr>
            <w:tcW w:type="dxa" w:w="3135"/>
          </w:tcPr>
          <w:p>
            <w:pPr>
              <w:spacing w:before="40" w:after="40"/>
            </w:pPr>
            <w:r>
              <w:rPr>
                <w:sz w:val="18"/>
              </w:rPr>
              <w:t>FundsManagerAbciApp</w:t>
              <w:br/>
              <w:t>(new)</w:t>
            </w:r>
          </w:p>
        </w:tc>
        <w:tc>
          <w:tcPr>
            <w:tcW w:type="dxa" w:w="3135"/>
          </w:tcPr>
          <w:p>
            <w:pPr>
              <w:spacing w:before="40" w:after="40"/>
            </w:pPr>
            <w:r>
              <w:rPr>
                <w:sz w:val="18"/>
              </w:rPr>
              <w:t>Checks EOA balance each FSM cycle, auto-transfers from Safe → EOA when needed</w:t>
            </w:r>
          </w:p>
        </w:tc>
        <w:tc>
          <w:tcPr>
            <w:tcW w:type="dxa" w:w="3135"/>
          </w:tcPr>
          <w:p>
            <w:pPr>
              <w:spacing w:before="40" w:after="40"/>
            </w:pPr>
            <w:r>
              <w:rPr>
                <w:sz w:val="18"/>
              </w:rPr>
              <w:t>New. Lives in funds-manager repo.</w:t>
              <w:br/>
              <w:t>Agents import and compose into their FSM.</w:t>
            </w:r>
          </w:p>
        </w:tc>
      </w:tr>
    </w:tbl>
    <w:p/>
    <w:p>
      <w:pPr>
        <w:pStyle w:val="Heading2"/>
      </w:pPr>
      <w:r>
        <w:t>Three Funding Paths (Prioritized)</w:t>
      </w:r>
    </w:p>
    <w:p>
      <w:r>
        <w:rPr>
          <w:b/>
        </w:rPr>
        <w:t>Path 1 — Auto-Transfer (normal case, no user action)</w:t>
      </w:r>
    </w:p>
    <w:p>
      <w:pPr>
        <w:pStyle w:val="ListBullet"/>
      </w:pPr>
      <w:r>
        <w:t>At the start of each FSM cycle, the new round checks the EOA balance. If it's below the auto-transfer threshold and the Safe has native funds, the agent executes a Safe→EOA transfer. The user sees nothing — the agent self-funds from its own Safe.</w:t>
      </w:r>
    </w:p>
    <w:p>
      <w:r>
        <w:rPr>
          <w:b/>
        </w:rPr>
        <w:t>Path 2 — User Funds Safe (Safe is depleted)</w:t>
      </w:r>
    </w:p>
    <w:p>
      <w:pPr>
        <w:pStyle w:val="ListBullet"/>
      </w:pPr>
      <w:r>
        <w:t>If auto-transfers deplete the Safe below its own threshold, the existing /funds-status endpoint reports a Safe deficit. The middleware alerts the user: "Fund your Safe with X." The user funds the Safe, and auto-transfer resumes on the next cycle.</w:t>
      </w:r>
    </w:p>
    <w:p>
      <w:r>
        <w:rPr>
          <w:b/>
        </w:rPr>
        <w:t>Path 3 — MW Funds EOA Directly (last resort)</w:t>
      </w:r>
    </w:p>
    <w:p>
      <w:pPr>
        <w:pStyle w:val="ListBullet"/>
      </w:pPr>
      <w:r>
        <w:t>If the EOA is so low it cannot even execute a Safe transaction (below safe_tx_value), the existing /funds-status endpoint reports an EOA deficit. The middleware funds the EOA directly. This should be rare with correct threshold configuration.</w:t>
      </w:r>
    </w:p>
    <w:p>
      <w:r>
        <w:br w:type="page"/>
      </w:r>
    </w:p>
    <w:p>
      <w:pPr>
        <w:pStyle w:val="Heading1"/>
      </w:pPr>
      <w:r>
        <w:t>4. How It Works — End-to-End</w:t>
      </w:r>
    </w:p>
    <w:p>
      <w:r>
        <w:t>This section traces the complete lifecycle using Omenstrat (Gnosis) as a concrete example. EOA has 0.1 xDAI (below 0.21 threshold). Safe has 3.0 xDAI.</w:t>
      </w:r>
    </w:p>
    <w:p>
      <w:pPr>
        <w:pStyle w:val="Heading2"/>
      </w:pPr>
      <w:r>
        <w:t>Step 1: FSM Round Auto-Transfers</w:t>
      </w:r>
    </w:p>
    <w:p>
      <w:pPr>
        <w:pStyle w:val="ListNumber"/>
      </w:pPr>
      <w:r>
        <w:t>Agent FSM cycle starts. FundsManagerAbciApp runs first.</w:t>
      </w:r>
    </w:p>
    <w:p>
      <w:pPr>
        <w:pStyle w:val="ListNumber"/>
      </w:pPr>
      <w:r>
        <w:t>CheckFundsRound reads balances: EOA = 0.1 xDAI, Safe = 3.0 xDAI.</w:t>
      </w:r>
    </w:p>
    <w:p>
      <w:pPr>
        <w:pStyle w:val="ListNumber"/>
      </w:pPr>
      <w:r>
        <w:t>EOA (0.1) &lt; auto_transfer_threshold (0.21) → transfer needed.</w:t>
      </w:r>
    </w:p>
    <w:p>
      <w:pPr>
        <w:pStyle w:val="ListNumber"/>
      </w:pPr>
      <w:r>
        <w:t>Transfer amount = min(3.0, 2.0 − 0.1) = 1.9 xDAI.</w:t>
      </w:r>
    </w:p>
    <w:p>
      <w:pPr>
        <w:pStyle w:val="ListNumber"/>
      </w:pPr>
      <w:r>
        <w:t>PrepareSafeToEOATransferRound builds the Safe transaction.</w:t>
      </w:r>
    </w:p>
    <w:p>
      <w:pPr>
        <w:pStyle w:val="ListNumber"/>
      </w:pPr>
      <w:r>
        <w:t>TransactionSettlementAbci signs, submits, and confirms on-chain.</w:t>
      </w:r>
    </w:p>
    <w:p>
      <w:pPr>
        <w:pStyle w:val="ListNumber"/>
      </w:pPr>
      <w:r>
        <w:t>Result: EOA ≈ 2.0 xDAI, Safe ≈ 1.1 xDAI. No user action required.</w:t>
      </w:r>
    </w:p>
    <w:p>
      <w:pPr>
        <w:pStyle w:val="Heading2"/>
      </w:pPr>
      <w:r>
        <w:t>Step 2: Middleware Polls (Asynchronous)</w:t>
      </w:r>
    </w:p>
    <w:p>
      <w:pPr>
        <w:pStyle w:val="ListNumber"/>
      </w:pPr>
      <w:r>
        <w:t>Middleware polls GET /funds-status (unchanged code).</w:t>
      </w:r>
    </w:p>
    <w:p>
      <w:pPr>
        <w:pStyle w:val="ListNumber"/>
      </w:pPr>
      <w:r>
        <w:t>funds_manager reads on-chain balances: EOA = 2.0, Safe = 1.1.</w:t>
      </w:r>
    </w:p>
    <w:p>
      <w:pPr>
        <w:pStyle w:val="ListNumber"/>
      </w:pPr>
      <w:r>
        <w:t>EOA (2.0) &gt; 0.001 threshold → deficit = 0. Safe (1.1) &gt; 1.0 threshold → deficit = 0.</w:t>
      </w:r>
    </w:p>
    <w:p>
      <w:pPr>
        <w:pStyle w:val="ListNumber"/>
      </w:pPr>
      <w:r>
        <w:t>Handler applies wxDAI adjustment (unchanged). Still no deficit.</w:t>
      </w:r>
    </w:p>
    <w:p>
      <w:pPr>
        <w:pStyle w:val="ListNumber"/>
      </w:pPr>
      <w:r>
        <w:t>Middleware receives: all deficits = 0. Nothing to report.</w:t>
      </w:r>
    </w:p>
    <w:p>
      <w:pPr>
        <w:pStyle w:val="ListNumber"/>
      </w:pPr>
      <w:r>
        <w:t>User sees nothing. Agent operating normally.</w:t>
      </w:r>
    </w:p>
    <w:p>
      <w:pPr>
        <w:pStyle w:val="Heading2"/>
      </w:pPr>
      <w:r>
        <w:t>Step 3: When Safe Gets Depleted</w:t>
      </w:r>
    </w:p>
    <w:p>
      <w:r>
        <w:t>After several auto-transfers, the Safe's native balance drops below its threshold:</w:t>
      </w:r>
    </w:p>
    <w:p>
      <w:pPr>
        <w:pStyle w:val="ListNumber"/>
      </w:pPr>
      <w:r>
        <w:t>EOA = 0.1 xDAI, Safe = 0.3 xDAI. FSM transfers all 0.3 to EOA.</w:t>
      </w:r>
    </w:p>
    <w:p>
      <w:pPr>
        <w:pStyle w:val="ListNumber"/>
      </w:pPr>
      <w:r>
        <w:t>EOA ≈ 0.4, Safe ≈ 0. Safe (0) &lt; 1.0 threshold → deficit = 5.0 xDAI.</w:t>
      </w:r>
    </w:p>
    <w:p>
      <w:pPr>
        <w:pStyle w:val="ListNumber"/>
      </w:pPr>
      <w:r>
        <w:t>Middleware reports Safe deficit. Pearl shows: "Fund your Safe with 5.0 xDAI."</w:t>
      </w:r>
    </w:p>
    <w:p>
      <w:pPr>
        <w:pStyle w:val="ListNumber"/>
      </w:pPr>
      <w:r>
        <w:t>User approves. Middleware transfers 5.0 xDAI from MasterSafe → Agent Safe.</w:t>
      </w:r>
    </w:p>
    <w:p>
      <w:pPr>
        <w:pStyle w:val="ListNumber"/>
      </w:pPr>
      <w:r>
        <w:t>Next FSM cycle: if EOA is low, auto-transfer from newly funded Safe resumes.</w:t>
      </w:r>
    </w:p>
    <w:p>
      <w:pPr>
        <w:pStyle w:val="Heading2"/>
      </w:pPr>
      <w:r>
        <w:t>Key Insight</w:t>
      </w:r>
    </w:p>
    <w:p>
      <w:r>
        <w:rPr>
          <w:i/>
        </w:rPr>
        <w:t>The user always funds the Safe — the wallet they understand. The agent manages the EOA internally. The user never sees confusing EOA funding prompts when the Safe has funds.</w:t>
      </w:r>
    </w:p>
    <w:p>
      <w:r>
        <w:br w:type="page"/>
      </w:r>
    </w:p>
    <w:p>
      <w:pPr>
        <w:pStyle w:val="Heading1"/>
      </w:pPr>
      <w:r>
        <w:t>5. Impact on Each Agent</w:t>
      </w:r>
    </w:p>
    <w:p>
      <w:r>
        <w:t>All four agents support x402 payments (ETH→USDC swap via LiFi on the EOA, triggered in a background thread on each /funds-status poll). This is an existing per-agent mechanism that stays in each agent's handler — it is not affected by the auto-transfer feature. The auto-transfer and x402 swap both submit EOA transactions, but they run at different times (FSM cycle start vs MW poll) so nonce conflicts are unlikely.</w:t>
      </w:r>
    </w:p>
    <w:p/>
    <w:p>
      <w:pPr>
        <w:pStyle w:val="Heading2"/>
      </w:pPr>
      <w:r>
        <w:t>Optimus (Optimism)</w:t>
      </w:r>
    </w:p>
    <w:tbl>
      <w:tblPr>
        <w:tblStyle w:val="TableGrid"/>
        <w:tblW w:type="auto" w:w="0"/>
        <w:jc w:val="center"/>
        <w:tblLook w:firstColumn="1" w:firstRow="1" w:lastColumn="0" w:lastRow="0" w:noHBand="0" w:noVBand="1" w:val="04A0"/>
      </w:tblPr>
      <w:tblGrid>
        <w:gridCol w:w="4703"/>
        <w:gridCol w:w="4703"/>
      </w:tblGrid>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tcPr>
          <w:p>
            <w:pPr>
              <w:spacing w:before="40" w:after="40"/>
            </w:pPr>
            <w:r>
              <w:rPr>
                <w:sz w:val="18"/>
              </w:rPr>
              <w:t>FSM change</w:t>
            </w:r>
          </w:p>
        </w:tc>
        <w:tc>
          <w:tcPr>
            <w:tcW w:type="dxa" w:w="4703"/>
          </w:tcPr>
          <w:p>
            <w:pPr>
              <w:spacing w:before="40" w:after="40"/>
            </w:pPr>
            <w:r>
              <w:rPr>
                <w:sz w:val="18"/>
              </w:rPr>
              <w:t>Add FundsManagerAbciApp to FSM composition.</w:t>
            </w:r>
          </w:p>
        </w:tc>
      </w:tr>
      <w:tr>
        <w:tc>
          <w:tcPr>
            <w:tcW w:type="dxa" w:w="4703"/>
          </w:tcPr>
          <w:p>
            <w:pPr>
              <w:spacing w:before="40" w:after="40"/>
            </w:pPr>
            <w:r>
              <w:rPr>
                <w:sz w:val="18"/>
              </w:rPr>
              <w:t>Config change</w:t>
            </w:r>
          </w:p>
        </w:tc>
        <w:tc>
          <w:tcPr>
            <w:tcW w:type="dxa" w:w="4703"/>
          </w:tcPr>
          <w:p>
            <w:pPr>
              <w:spacing w:before="40" w:after="40"/>
            </w:pPr>
            <w:r>
              <w:rPr>
                <w:sz w:val="18"/>
              </w:rPr>
              <w:t>Enable Safe native funding (currently disabled — topup=0). Add auto_transfer config. Lower EOA threshold to safe_tx_value.</w:t>
            </w:r>
          </w:p>
        </w:tc>
      </w:tr>
      <w:tr>
        <w:tc>
          <w:tcPr>
            <w:tcW w:type="dxa" w:w="4703"/>
          </w:tcPr>
          <w:p>
            <w:pPr>
              <w:spacing w:before="40" w:after="40"/>
            </w:pPr>
            <w:r>
              <w:rPr>
                <w:sz w:val="18"/>
              </w:rPr>
              <w:t>x402 interaction</w:t>
            </w:r>
          </w:p>
        </w:tc>
        <w:tc>
          <w:tcPr>
            <w:tcW w:type="dxa" w:w="4703"/>
          </w:tcPr>
          <w:p>
            <w:pPr>
              <w:spacing w:before="40" w:after="40"/>
            </w:pPr>
            <w:r>
              <w:rPr>
                <w:sz w:val="18"/>
              </w:rPr>
              <w:t>x402 ETH→USDC swap runs in background thread on each MW poll. Consumes EOA ETH (gas + swap value), accelerating EOA drain. On swap failure, injects ETH deficit into /funds-status response so MW funds EOA with extra ETH.</w:t>
            </w:r>
          </w:p>
        </w:tc>
      </w:tr>
      <w:tr>
        <w:tc>
          <w:tcPr>
            <w:tcW w:type="dxa" w:w="4703"/>
          </w:tcPr>
          <w:p>
            <w:pPr>
              <w:spacing w:before="40" w:after="40"/>
            </w:pPr>
            <w:r>
              <w:rPr>
                <w:sz w:val="18"/>
              </w:rPr>
              <w:t>Withdrawal mode</w:t>
            </w:r>
          </w:p>
        </w:tc>
        <w:tc>
          <w:tcPr>
            <w:tcW w:type="dxa" w:w="4703"/>
          </w:tcPr>
          <w:p>
            <w:pPr>
              <w:spacing w:before="40" w:after="40"/>
            </w:pPr>
            <w:r>
              <w:rPr>
                <w:sz w:val="18"/>
              </w:rPr>
              <w:t>Unaffected — handler logic runs after get_funds_status(), which is unchanged.</w:t>
            </w:r>
          </w:p>
        </w:tc>
      </w:tr>
    </w:tbl>
    <w:p/>
    <w:p>
      <w:pPr>
        <w:pStyle w:val="Heading2"/>
      </w:pPr>
      <w:r>
        <w:t>Omenstrat (Gnosis)</w:t>
      </w:r>
    </w:p>
    <w:tbl>
      <w:tblPr>
        <w:tblStyle w:val="TableGrid"/>
        <w:tblW w:type="auto" w:w="0"/>
        <w:jc w:val="center"/>
        <w:tblLook w:firstColumn="1" w:firstRow="1" w:lastColumn="0" w:lastRow="0" w:noHBand="0" w:noVBand="1" w:val="04A0"/>
      </w:tblPr>
      <w:tblGrid>
        <w:gridCol w:w="4703"/>
        <w:gridCol w:w="4703"/>
      </w:tblGrid>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tcPr>
          <w:p>
            <w:pPr>
              <w:spacing w:before="40" w:after="40"/>
            </w:pPr>
            <w:r>
              <w:rPr>
                <w:sz w:val="18"/>
              </w:rPr>
              <w:t>FSM change</w:t>
            </w:r>
          </w:p>
        </w:tc>
        <w:tc>
          <w:tcPr>
            <w:tcW w:type="dxa" w:w="4703"/>
          </w:tcPr>
          <w:p>
            <w:pPr>
              <w:spacing w:before="40" w:after="40"/>
            </w:pPr>
            <w:r>
              <w:rPr>
                <w:sz w:val="18"/>
              </w:rPr>
              <w:t>Add FundsManagerAbciApp to FSM composition.</w:t>
            </w:r>
          </w:p>
        </w:tc>
      </w:tr>
      <w:tr>
        <w:tc>
          <w:tcPr>
            <w:tcW w:type="dxa" w:w="4703"/>
          </w:tcPr>
          <w:p>
            <w:pPr>
              <w:spacing w:before="40" w:after="40"/>
            </w:pPr>
            <w:r>
              <w:rPr>
                <w:sz w:val="18"/>
              </w:rPr>
              <w:t>Config change</w:t>
            </w:r>
          </w:p>
        </w:tc>
        <w:tc>
          <w:tcPr>
            <w:tcW w:type="dxa" w:w="4703"/>
          </w:tcPr>
          <w:p>
            <w:pPr>
              <w:spacing w:before="40" w:after="40"/>
            </w:pPr>
            <w:r>
              <w:rPr>
                <w:sz w:val="18"/>
              </w:rPr>
              <w:t>Add auto_transfer config. Lower EOA threshold to safe_tx_value.</w:t>
            </w:r>
          </w:p>
        </w:tc>
      </w:tr>
      <w:tr>
        <w:tc>
          <w:tcPr>
            <w:tcW w:type="dxa" w:w="4703"/>
          </w:tcPr>
          <w:p>
            <w:pPr>
              <w:spacing w:before="40" w:after="40"/>
            </w:pPr>
            <w:r>
              <w:rPr>
                <w:sz w:val="18"/>
              </w:rPr>
              <w:t>wxDAI adjustment</w:t>
            </w:r>
          </w:p>
        </w:tc>
        <w:tc>
          <w:tcPr>
            <w:tcW w:type="dxa" w:w="4703"/>
          </w:tcPr>
          <w:p>
            <w:pPr>
              <w:spacing w:before="40" w:after="40"/>
            </w:pPr>
            <w:r>
              <w:rPr>
                <w:sz w:val="18"/>
              </w:rPr>
              <w:t>No conflict. Auto-transfer only moves native xDAI, not wxDAI. Handler's wxDAI folding is unchanged.</w:t>
            </w:r>
          </w:p>
        </w:tc>
      </w:tr>
      <w:tr>
        <w:tc>
          <w:tcPr>
            <w:tcW w:type="dxa" w:w="4703"/>
          </w:tcPr>
          <w:p>
            <w:pPr>
              <w:spacing w:before="40" w:after="40"/>
            </w:pPr>
            <w:r>
              <w:rPr>
                <w:sz w:val="18"/>
              </w:rPr>
              <w:t>x402 interaction</w:t>
            </w:r>
          </w:p>
        </w:tc>
        <w:tc>
          <w:tcPr>
            <w:tcW w:type="dxa" w:w="4703"/>
          </w:tcPr>
          <w:p>
            <w:pPr>
              <w:spacing w:before="40" w:after="40"/>
            </w:pPr>
            <w:r>
              <w:rPr>
                <w:sz w:val="18"/>
              </w:rPr>
              <w:t>Same as Optimus — shared handler code. ETH→USDC swap in background thread. Same deficit injection on failure.</w:t>
            </w:r>
          </w:p>
        </w:tc>
      </w:tr>
    </w:tbl>
    <w:p/>
    <w:p>
      <w:pPr>
        <w:pStyle w:val="Heading2"/>
      </w:pPr>
      <w:r>
        <w:t>Polystrat (Polygon)</w:t>
      </w:r>
    </w:p>
    <w:tbl>
      <w:tblPr>
        <w:tblStyle w:val="TableGrid"/>
        <w:tblW w:type="auto" w:w="0"/>
        <w:jc w:val="center"/>
        <w:tblLook w:firstColumn="1" w:firstRow="1" w:lastColumn="0" w:lastRow="0" w:noHBand="0" w:noVBand="1" w:val="04A0"/>
      </w:tblPr>
      <w:tblGrid>
        <w:gridCol w:w="4703"/>
        <w:gridCol w:w="4703"/>
      </w:tblGrid>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tcPr>
          <w:p>
            <w:pPr>
              <w:spacing w:before="40" w:after="40"/>
            </w:pPr>
            <w:r>
              <w:rPr>
                <w:sz w:val="18"/>
              </w:rPr>
              <w:t>FSM change</w:t>
            </w:r>
          </w:p>
        </w:tc>
        <w:tc>
          <w:tcPr>
            <w:tcW w:type="dxa" w:w="4703"/>
          </w:tcPr>
          <w:p>
            <w:pPr>
              <w:spacing w:before="40" w:after="40"/>
            </w:pPr>
            <w:r>
              <w:rPr>
                <w:sz w:val="18"/>
              </w:rPr>
              <w:t>Add FundsManagerAbciApp to FSM composition.</w:t>
            </w:r>
          </w:p>
        </w:tc>
      </w:tr>
      <w:tr>
        <w:tc>
          <w:tcPr>
            <w:tcW w:type="dxa" w:w="4703"/>
          </w:tcPr>
          <w:p>
            <w:pPr>
              <w:spacing w:before="40" w:after="40"/>
            </w:pPr>
            <w:r>
              <w:rPr>
                <w:sz w:val="18"/>
              </w:rPr>
              <w:t>Config change</w:t>
            </w:r>
          </w:p>
        </w:tc>
        <w:tc>
          <w:tcPr>
            <w:tcW w:type="dxa" w:w="4703"/>
          </w:tcPr>
          <w:p>
            <w:pPr>
              <w:spacing w:before="40" w:after="40"/>
            </w:pPr>
            <w:r>
              <w:rPr>
                <w:sz w:val="18"/>
              </w:rPr>
              <w:t>Add auto_transfer config. Lower EOA threshold to safe_tx_value.</w:t>
            </w:r>
          </w:p>
        </w:tc>
      </w:tr>
      <w:tr>
        <w:tc>
          <w:tcPr>
            <w:tcW w:type="dxa" w:w="4703"/>
          </w:tcPr>
          <w:p>
            <w:pPr>
              <w:spacing w:before="40" w:after="40"/>
            </w:pPr>
            <w:r>
              <w:rPr>
                <w:sz w:val="18"/>
              </w:rPr>
              <w:t>USDC→POL adjustment</w:t>
            </w:r>
          </w:p>
        </w:tc>
        <w:tc>
          <w:tcPr>
            <w:tcW w:type="dxa" w:w="4703"/>
          </w:tcPr>
          <w:p>
            <w:pPr>
              <w:spacing w:before="40" w:after="40"/>
            </w:pPr>
            <w:r>
              <w:rPr>
                <w:sz w:val="18"/>
              </w:rPr>
              <w:t>Known interaction: handler's USDC→POL adjustment may mask Safe native deficit after auto-transfer depletes native POL. Requires small handler fix to not suppress native POL deficit when needed for auto-transfer.</w:t>
            </w:r>
          </w:p>
        </w:tc>
      </w:tr>
      <w:tr>
        <w:tc>
          <w:tcPr>
            <w:tcW w:type="dxa" w:w="4703"/>
          </w:tcPr>
          <w:p>
            <w:pPr>
              <w:spacing w:before="40" w:after="40"/>
            </w:pPr>
            <w:r>
              <w:rPr>
                <w:sz w:val="18"/>
              </w:rPr>
              <w:t>x402 interaction</w:t>
            </w:r>
          </w:p>
        </w:tc>
        <w:tc>
          <w:tcPr>
            <w:tcW w:type="dxa" w:w="4703"/>
          </w:tcPr>
          <w:p>
            <w:pPr>
              <w:spacing w:before="40" w:after="40"/>
            </w:pPr>
            <w:r>
              <w:rPr>
                <w:sz w:val="18"/>
              </w:rPr>
              <w:t>Same as Omenstrat — shared handler code. ETH→USDC swap in background thread.</w:t>
            </w:r>
          </w:p>
        </w:tc>
      </w:tr>
    </w:tbl>
    <w:p/>
    <w:p>
      <w:pPr>
        <w:pStyle w:val="Heading2"/>
      </w:pPr>
      <w:r>
        <w:t>Agents Fun / meme-ooorr (Base)</w:t>
      </w:r>
    </w:p>
    <w:tbl>
      <w:tblPr>
        <w:tblStyle w:val="TableGrid"/>
        <w:tblW w:type="auto" w:w="0"/>
        <w:jc w:val="center"/>
        <w:tblLook w:firstColumn="1" w:firstRow="1" w:lastColumn="0" w:lastRow="0" w:noHBand="0" w:noVBand="1" w:val="04A0"/>
      </w:tblPr>
      <w:tblGrid>
        <w:gridCol w:w="4703"/>
        <w:gridCol w:w="4703"/>
      </w:tblGrid>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shd w:fill="2F5496" w:val="clear"/>
          </w:tcPr>
          <w:p>
            <w:pPr>
              <w:spacing w:before="40" w:after="40"/>
            </w:pPr>
            <w:r>
              <w:rPr>
                <w:b/>
                <w:color w:val="FFFFFF"/>
                <w:sz w:val="18"/>
              </w:rPr>
              <w:t>Item</w:t>
            </w:r>
          </w:p>
        </w:tc>
        <w:tc>
          <w:tcPr>
            <w:tcW w:type="dxa" w:w="4703"/>
            <w:shd w:fill="2F5496" w:val="clear"/>
          </w:tcPr>
          <w:p>
            <w:pPr>
              <w:spacing w:before="40" w:after="40"/>
            </w:pPr>
            <w:r>
              <w:rPr>
                <w:b/>
                <w:color w:val="FFFFFF"/>
                <w:sz w:val="18"/>
              </w:rPr>
              <w:t>Detail</w:t>
            </w:r>
          </w:p>
        </w:tc>
      </w:tr>
      <w:tr>
        <w:tc>
          <w:tcPr>
            <w:tcW w:type="dxa" w:w="4703"/>
          </w:tcPr>
          <w:p>
            <w:pPr>
              <w:spacing w:before="40" w:after="40"/>
            </w:pPr>
            <w:r>
              <w:rPr>
                <w:sz w:val="18"/>
              </w:rPr>
              <w:t>FSM change</w:t>
            </w:r>
          </w:p>
        </w:tc>
        <w:tc>
          <w:tcPr>
            <w:tcW w:type="dxa" w:w="4703"/>
          </w:tcPr>
          <w:p>
            <w:pPr>
              <w:spacing w:before="40" w:after="40"/>
            </w:pPr>
            <w:r>
              <w:rPr>
                <w:sz w:val="18"/>
              </w:rPr>
              <w:t>Add FundsManagerAbciApp to FSM composition, before CheckFundsBehaviour.</w:t>
            </w:r>
          </w:p>
        </w:tc>
      </w:tr>
      <w:tr>
        <w:tc>
          <w:tcPr>
            <w:tcW w:type="dxa" w:w="4703"/>
          </w:tcPr>
          <w:p>
            <w:pPr>
              <w:spacing w:before="40" w:after="40"/>
            </w:pPr>
            <w:r>
              <w:rPr>
                <w:sz w:val="18"/>
              </w:rPr>
              <w:t>Config change</w:t>
            </w:r>
          </w:p>
        </w:tc>
        <w:tc>
          <w:tcPr>
            <w:tcW w:type="dxa" w:w="4703"/>
          </w:tcPr>
          <w:p>
            <w:pPr>
              <w:spacing w:before="40" w:after="40"/>
            </w:pPr>
            <w:r>
              <w:rPr>
                <w:sz w:val="18"/>
              </w:rPr>
              <w:t>Add auto_transfer config. Lower EOA threshold. Consider increasing threshold (currently very close to Safe tx gas cost).</w:t>
            </w:r>
          </w:p>
        </w:tc>
      </w:tr>
      <w:tr>
        <w:tc>
          <w:tcPr>
            <w:tcW w:type="dxa" w:w="4703"/>
          </w:tcPr>
          <w:p>
            <w:pPr>
              <w:spacing w:before="40" w:after="40"/>
            </w:pPr>
            <w:r>
              <w:rPr>
                <w:sz w:val="18"/>
              </w:rPr>
              <w:t>x402 interaction</w:t>
            </w:r>
          </w:p>
        </w:tc>
        <w:tc>
          <w:tcPr>
            <w:tcW w:type="dxa" w:w="4703"/>
          </w:tcPr>
          <w:p>
            <w:pPr>
              <w:spacing w:before="40" w:after="40"/>
            </w:pPr>
            <w:r>
              <w:rPr>
                <w:sz w:val="18"/>
              </w:rPr>
              <w:t>Same background thread swap mechanism. However, meme-ooorr does NOT inject ETH deficit into /funds-status on swap failure (unlike other agents). Swap failure is silent.</w:t>
            </w:r>
          </w:p>
        </w:tc>
      </w:tr>
    </w:tbl>
    <w:p>
      <w:r>
        <w:br w:type="page"/>
      </w:r>
    </w:p>
    <w:p>
      <w:pPr>
        <w:pStyle w:val="Heading1"/>
      </w:pPr>
      <w:r>
        <w:t>6. What Changes, What Doesn't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spacing w:before="40" w:after="40"/>
            </w:pPr>
            <w:r>
              <w:rPr>
                <w:b/>
                <w:color w:val="FFFFFF"/>
                <w:sz w:val="18"/>
              </w:rPr>
              <w:t>Component</w:t>
            </w:r>
          </w:p>
        </w:tc>
        <w:tc>
          <w:tcPr>
            <w:tcW w:type="dxa" w:w="3135"/>
            <w:shd w:fill="2F5496" w:val="clear"/>
          </w:tcPr>
          <w:p>
            <w:pPr>
              <w:spacing w:before="40" w:after="40"/>
            </w:pPr>
            <w:r>
              <w:rPr>
                <w:b/>
                <w:color w:val="FFFFFF"/>
                <w:sz w:val="18"/>
              </w:rPr>
              <w:t>Changes?</w:t>
            </w:r>
          </w:p>
        </w:tc>
        <w:tc>
          <w:tcPr>
            <w:tcW w:type="dxa" w:w="3135"/>
            <w:shd w:fill="2F5496" w:val="clear"/>
          </w:tcPr>
          <w:p>
            <w:pPr>
              <w:spacing w:before="40" w:after="40"/>
            </w:pPr>
            <w:r>
              <w:rPr>
                <w:b/>
                <w:color w:val="FFFFFF"/>
                <w:sz w:val="18"/>
              </w:rPr>
              <w:t>Detail</w:t>
            </w:r>
          </w:p>
        </w:tc>
      </w:tr>
      <w:tr>
        <w:tc>
          <w:tcPr>
            <w:tcW w:type="dxa" w:w="3135"/>
            <w:shd w:fill="2F5496" w:val="clear"/>
          </w:tcPr>
          <w:p>
            <w:pPr>
              <w:spacing w:before="40" w:after="40"/>
            </w:pPr>
            <w:r>
              <w:rPr>
                <w:b/>
                <w:color w:val="FFFFFF"/>
                <w:sz w:val="18"/>
              </w:rPr>
              <w:t>Component</w:t>
            </w:r>
          </w:p>
        </w:tc>
        <w:tc>
          <w:tcPr>
            <w:tcW w:type="dxa" w:w="3135"/>
            <w:shd w:fill="2F5496" w:val="clear"/>
          </w:tcPr>
          <w:p>
            <w:pPr>
              <w:spacing w:before="40" w:after="40"/>
            </w:pPr>
            <w:r>
              <w:rPr>
                <w:b/>
                <w:color w:val="FFFFFF"/>
                <w:sz w:val="18"/>
              </w:rPr>
              <w:t>Changes?</w:t>
            </w:r>
          </w:p>
        </w:tc>
        <w:tc>
          <w:tcPr>
            <w:tcW w:type="dxa" w:w="3135"/>
            <w:shd w:fill="2F5496" w:val="clear"/>
          </w:tcPr>
          <w:p>
            <w:pPr>
              <w:spacing w:before="40" w:after="40"/>
            </w:pPr>
            <w:r>
              <w:rPr>
                <w:b/>
                <w:color w:val="FFFFFF"/>
                <w:sz w:val="18"/>
              </w:rPr>
              <w:t>Detail</w:t>
            </w:r>
          </w:p>
        </w:tc>
      </w:tr>
      <w:tr>
        <w:tc>
          <w:tcPr>
            <w:tcW w:type="dxa" w:w="3135"/>
          </w:tcPr>
          <w:p>
            <w:pPr>
              <w:spacing w:before="40" w:after="40"/>
            </w:pPr>
            <w:r>
              <w:rPr>
                <w:sz w:val="18"/>
              </w:rPr>
              <w:t>get_funds_status() code</w:t>
            </w:r>
          </w:p>
        </w:tc>
        <w:tc>
          <w:tcPr>
            <w:tcW w:type="dxa" w:w="3135"/>
          </w:tcPr>
          <w:p>
            <w:pPr>
              <w:spacing w:before="40" w:after="40"/>
            </w:pPr>
            <w:r>
              <w:rPr>
                <w:sz w:val="18"/>
              </w:rPr>
              <w:t>No</w:t>
            </w:r>
          </w:p>
        </w:tc>
        <w:tc>
          <w:tcPr>
            <w:tcW w:type="dxa" w:w="3135"/>
          </w:tcPr>
          <w:p>
            <w:pPr>
              <w:spacing w:before="40" w:after="40"/>
            </w:pPr>
            <w:r>
              <w:rPr>
                <w:sz w:val="18"/>
              </w:rPr>
              <w:t>Zero changes to balance checking, deficit calculation, or response format.</w:t>
            </w:r>
          </w:p>
        </w:tc>
      </w:tr>
      <w:tr>
        <w:tc>
          <w:tcPr>
            <w:tcW w:type="dxa" w:w="3135"/>
          </w:tcPr>
          <w:p>
            <w:pPr>
              <w:spacing w:before="40" w:after="40"/>
            </w:pPr>
            <w:r>
              <w:rPr>
                <w:sz w:val="18"/>
              </w:rPr>
              <w:t>/funds-status response</w:t>
            </w:r>
          </w:p>
        </w:tc>
        <w:tc>
          <w:tcPr>
            <w:tcW w:type="dxa" w:w="3135"/>
          </w:tcPr>
          <w:p>
            <w:pPr>
              <w:spacing w:before="40" w:after="40"/>
            </w:pPr>
            <w:r>
              <w:rPr>
                <w:sz w:val="18"/>
              </w:rPr>
              <w:t>No</w:t>
            </w:r>
          </w:p>
        </w:tc>
        <w:tc>
          <w:tcPr>
            <w:tcW w:type="dxa" w:w="3135"/>
          </w:tcPr>
          <w:p>
            <w:pPr>
              <w:spacing w:before="40" w:after="40"/>
            </w:pPr>
            <w:r>
              <w:rPr>
                <w:sz w:val="18"/>
              </w:rPr>
              <w:t>Identical JSON structure. Middleware reads it the same way.</w:t>
            </w:r>
          </w:p>
        </w:tc>
      </w:tr>
      <w:tr>
        <w:tc>
          <w:tcPr>
            <w:tcW w:type="dxa" w:w="3135"/>
          </w:tcPr>
          <w:p>
            <w:pPr>
              <w:spacing w:before="40" w:after="40"/>
            </w:pPr>
            <w:r>
              <w:rPr>
                <w:sz w:val="18"/>
              </w:rPr>
              <w:t>Per-agent HTTP handlers</w:t>
            </w:r>
          </w:p>
        </w:tc>
        <w:tc>
          <w:tcPr>
            <w:tcW w:type="dxa" w:w="3135"/>
          </w:tcPr>
          <w:p>
            <w:pPr>
              <w:spacing w:before="40" w:after="40"/>
            </w:pPr>
            <w:r>
              <w:rPr>
                <w:sz w:val="18"/>
              </w:rPr>
              <w:t>No</w:t>
            </w:r>
          </w:p>
        </w:tc>
        <w:tc>
          <w:tcPr>
            <w:tcW w:type="dxa" w:w="3135"/>
          </w:tcPr>
          <w:p>
            <w:pPr>
              <w:spacing w:before="40" w:after="40"/>
            </w:pPr>
            <w:r>
              <w:rPr>
                <w:sz w:val="18"/>
              </w:rPr>
              <w:t>wxDAI folding, USDC→POL, x402 — all unchanged.</w:t>
            </w:r>
          </w:p>
        </w:tc>
      </w:tr>
      <w:tr>
        <w:tc>
          <w:tcPr>
            <w:tcW w:type="dxa" w:w="3135"/>
          </w:tcPr>
          <w:p>
            <w:pPr>
              <w:spacing w:before="40" w:after="40"/>
            </w:pPr>
            <w:r>
              <w:rPr>
                <w:sz w:val="18"/>
              </w:rPr>
              <w:t>olas-operate-middleware</w:t>
            </w:r>
          </w:p>
        </w:tc>
        <w:tc>
          <w:tcPr>
            <w:tcW w:type="dxa" w:w="3135"/>
          </w:tcPr>
          <w:p>
            <w:pPr>
              <w:spacing w:before="40" w:after="40"/>
            </w:pPr>
            <w:r>
              <w:rPr>
                <w:sz w:val="18"/>
              </w:rPr>
              <w:t>No</w:t>
            </w:r>
          </w:p>
        </w:tc>
        <w:tc>
          <w:tcPr>
            <w:tcW w:type="dxa" w:w="3135"/>
          </w:tcPr>
          <w:p>
            <w:pPr>
              <w:spacing w:before="40" w:after="40"/>
            </w:pPr>
            <w:r>
              <w:rPr>
                <w:sz w:val="18"/>
              </w:rPr>
              <w:t>Reads deficits, forwards to frontend. Zero code changes.</w:t>
            </w:r>
          </w:p>
        </w:tc>
      </w:tr>
      <w:tr>
        <w:tc>
          <w:tcPr>
            <w:tcW w:type="dxa" w:w="3135"/>
          </w:tcPr>
          <w:p>
            <w:pPr>
              <w:spacing w:before="40" w:after="40"/>
            </w:pPr>
            <w:r>
              <w:rPr>
                <w:sz w:val="18"/>
              </w:rPr>
              <w:t>olas-operate-app (frontend)</w:t>
            </w:r>
          </w:p>
        </w:tc>
        <w:tc>
          <w:tcPr>
            <w:tcW w:type="dxa" w:w="3135"/>
          </w:tcPr>
          <w:p>
            <w:pPr>
              <w:spacing w:before="40" w:after="40"/>
            </w:pPr>
            <w:r>
              <w:rPr>
                <w:sz w:val="18"/>
              </w:rPr>
              <w:t>No</w:t>
            </w:r>
          </w:p>
        </w:tc>
        <w:tc>
          <w:tcPr>
            <w:tcW w:type="dxa" w:w="3135"/>
          </w:tcPr>
          <w:p>
            <w:pPr>
              <w:spacing w:before="40" w:after="40"/>
            </w:pPr>
            <w:r>
              <w:rPr>
                <w:sz w:val="18"/>
              </w:rPr>
              <w:t>Displays whatever middleware reports. Zero UI changes.</w:t>
            </w:r>
          </w:p>
        </w:tc>
      </w:tr>
      <w:tr>
        <w:tc>
          <w:tcPr>
            <w:tcW w:type="dxa" w:w="3135"/>
          </w:tcPr>
          <w:p>
            <w:pPr>
              <w:spacing w:before="40" w:after="40"/>
            </w:pPr>
            <w:r>
              <w:rPr>
                <w:sz w:val="18"/>
              </w:rPr>
              <w:t>fund_requirements config</w:t>
            </w:r>
          </w:p>
        </w:tc>
        <w:tc>
          <w:tcPr>
            <w:tcW w:type="dxa" w:w="3135"/>
          </w:tcPr>
          <w:p>
            <w:pPr>
              <w:spacing w:before="40" w:after="40"/>
            </w:pPr>
            <w:r>
              <w:rPr>
                <w:sz w:val="18"/>
              </w:rPr>
              <w:t>Yes</w:t>
            </w:r>
          </w:p>
        </w:tc>
        <w:tc>
          <w:tcPr>
            <w:tcW w:type="dxa" w:w="3135"/>
          </w:tcPr>
          <w:p>
            <w:pPr>
              <w:spacing w:before="40" w:after="40"/>
            </w:pPr>
            <w:r>
              <w:rPr>
                <w:sz w:val="18"/>
              </w:rPr>
              <w:t>EOA native threshold lowered to safe_tx_value per chain.</w:t>
            </w:r>
          </w:p>
        </w:tc>
      </w:tr>
      <w:tr>
        <w:tc>
          <w:tcPr>
            <w:tcW w:type="dxa" w:w="3135"/>
          </w:tcPr>
          <w:p>
            <w:pPr>
              <w:spacing w:before="40" w:after="40"/>
            </w:pPr>
            <w:r>
              <w:rPr>
                <w:sz w:val="18"/>
              </w:rPr>
              <w:t>funds_manager skill</w:t>
            </w:r>
          </w:p>
        </w:tc>
        <w:tc>
          <w:tcPr>
            <w:tcW w:type="dxa" w:w="3135"/>
          </w:tcPr>
          <w:p>
            <w:pPr>
              <w:spacing w:before="40" w:after="40"/>
            </w:pPr>
            <w:r>
              <w:rPr>
                <w:sz w:val="18"/>
              </w:rPr>
              <w:t>Yes</w:t>
            </w:r>
          </w:p>
        </w:tc>
        <w:tc>
          <w:tcPr>
            <w:tcW w:type="dxa" w:w="3135"/>
          </w:tcPr>
          <w:p>
            <w:pPr>
              <w:spacing w:before="40" w:after="40"/>
            </w:pPr>
            <w:r>
              <w:rPr>
                <w:sz w:val="18"/>
              </w:rPr>
              <w:t>New auto_transfer parameters. New FSM rounds, behaviours, payloads.</w:t>
            </w:r>
          </w:p>
        </w:tc>
      </w:tr>
      <w:tr>
        <w:tc>
          <w:tcPr>
            <w:tcW w:type="dxa" w:w="3135"/>
          </w:tcPr>
          <w:p>
            <w:pPr>
              <w:spacing w:before="40" w:after="40"/>
            </w:pPr>
            <w:r>
              <w:rPr>
                <w:sz w:val="18"/>
              </w:rPr>
              <w:t>Per-agent composition.py</w:t>
            </w:r>
          </w:p>
        </w:tc>
        <w:tc>
          <w:tcPr>
            <w:tcW w:type="dxa" w:w="3135"/>
          </w:tcPr>
          <w:p>
            <w:pPr>
              <w:spacing w:before="40" w:after="40"/>
            </w:pPr>
            <w:r>
              <w:rPr>
                <w:sz w:val="18"/>
              </w:rPr>
              <w:t>Yes</w:t>
            </w:r>
          </w:p>
        </w:tc>
        <w:tc>
          <w:tcPr>
            <w:tcW w:type="dxa" w:w="3135"/>
          </w:tcPr>
          <w:p>
            <w:pPr>
              <w:spacing w:before="40" w:after="40"/>
            </w:pPr>
            <w:r>
              <w:rPr>
                <w:sz w:val="18"/>
              </w:rPr>
              <w:t>Each agent imports and composes FundsManagerAbciApp.</w:t>
            </w:r>
          </w:p>
        </w:tc>
      </w:tr>
    </w:tbl>
    <w:p/>
    <w:p>
      <w:pPr>
        <w:pStyle w:val="Heading2"/>
      </w:pPr>
      <w:r>
        <w:t>Scenario Comparison: Before vs After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spacing w:before="40" w:after="40"/>
            </w:pPr>
            <w:r>
              <w:rPr>
                <w:b/>
                <w:color w:val="FFFFFF"/>
                <w:sz w:val="18"/>
              </w:rPr>
              <w:t>Scenario</w:t>
            </w:r>
          </w:p>
        </w:tc>
        <w:tc>
          <w:tcPr>
            <w:tcW w:type="dxa" w:w="2351"/>
            <w:shd w:fill="2F5496" w:val="clear"/>
          </w:tcPr>
          <w:p>
            <w:pPr>
              <w:spacing w:before="40" w:after="40"/>
            </w:pPr>
            <w:r>
              <w:rPr>
                <w:b/>
                <w:color w:val="FFFFFF"/>
                <w:sz w:val="18"/>
              </w:rPr>
              <w:t>Today</w:t>
            </w:r>
          </w:p>
        </w:tc>
        <w:tc>
          <w:tcPr>
            <w:tcW w:type="dxa" w:w="2351"/>
            <w:shd w:fill="2F5496" w:val="clear"/>
          </w:tcPr>
          <w:p>
            <w:pPr>
              <w:spacing w:before="40" w:after="40"/>
            </w:pPr>
            <w:r>
              <w:rPr>
                <w:b/>
                <w:color w:val="FFFFFF"/>
                <w:sz w:val="18"/>
              </w:rPr>
              <w:t>After</w:t>
            </w:r>
          </w:p>
        </w:tc>
        <w:tc>
          <w:tcPr>
            <w:tcW w:type="dxa" w:w="2351"/>
            <w:shd w:fill="2F5496" w:val="clear"/>
          </w:tcPr>
          <w:p>
            <w:pPr>
              <w:spacing w:before="40" w:after="40"/>
            </w:pPr>
            <w:r>
              <w:rPr>
                <w:b/>
                <w:color w:val="FFFFFF"/>
                <w:sz w:val="18"/>
              </w:rPr>
              <w:t>Changed?</w:t>
            </w:r>
          </w:p>
        </w:tc>
      </w:tr>
      <w:tr>
        <w:tc>
          <w:tcPr>
            <w:tcW w:type="dxa" w:w="2351"/>
            <w:shd w:fill="2F5496" w:val="clear"/>
          </w:tcPr>
          <w:p>
            <w:pPr>
              <w:spacing w:before="40" w:after="40"/>
            </w:pPr>
            <w:r>
              <w:rPr>
                <w:b/>
                <w:color w:val="FFFFFF"/>
                <w:sz w:val="18"/>
              </w:rPr>
              <w:t>Scenario</w:t>
            </w:r>
          </w:p>
        </w:tc>
        <w:tc>
          <w:tcPr>
            <w:tcW w:type="dxa" w:w="2351"/>
            <w:shd w:fill="2F5496" w:val="clear"/>
          </w:tcPr>
          <w:p>
            <w:pPr>
              <w:spacing w:before="40" w:after="40"/>
            </w:pPr>
            <w:r>
              <w:rPr>
                <w:b/>
                <w:color w:val="FFFFFF"/>
                <w:sz w:val="18"/>
              </w:rPr>
              <w:t>Today</w:t>
            </w:r>
          </w:p>
        </w:tc>
        <w:tc>
          <w:tcPr>
            <w:tcW w:type="dxa" w:w="2351"/>
            <w:shd w:fill="2F5496" w:val="clear"/>
          </w:tcPr>
          <w:p>
            <w:pPr>
              <w:spacing w:before="40" w:after="40"/>
            </w:pPr>
            <w:r>
              <w:rPr>
                <w:b/>
                <w:color w:val="FFFFFF"/>
                <w:sz w:val="18"/>
              </w:rPr>
              <w:t>After</w:t>
            </w:r>
          </w:p>
        </w:tc>
        <w:tc>
          <w:tcPr>
            <w:tcW w:type="dxa" w:w="2351"/>
            <w:shd w:fill="2F5496" w:val="clear"/>
          </w:tcPr>
          <w:p>
            <w:pPr>
              <w:spacing w:before="40" w:after="40"/>
            </w:pPr>
            <w:r>
              <w:rPr>
                <w:b/>
                <w:color w:val="FFFFFF"/>
                <w:sz w:val="18"/>
              </w:rPr>
              <w:t>Changed?</w:t>
            </w:r>
          </w:p>
        </w:tc>
      </w:tr>
      <w:tr>
        <w:tc>
          <w:tcPr>
            <w:tcW w:type="dxa" w:w="2351"/>
          </w:tcPr>
          <w:p>
            <w:pPr>
              <w:spacing w:before="40" w:after="40"/>
            </w:pPr>
            <w:r>
              <w:rPr>
                <w:sz w:val="18"/>
              </w:rPr>
              <w:t>EOA low, Safe has funds</w:t>
            </w:r>
          </w:p>
        </w:tc>
        <w:tc>
          <w:tcPr>
            <w:tcW w:type="dxa" w:w="2351"/>
          </w:tcPr>
          <w:p>
            <w:pPr>
              <w:spacing w:before="40" w:after="40"/>
            </w:pPr>
            <w:r>
              <w:rPr>
                <w:sz w:val="18"/>
              </w:rPr>
              <w:t>User funds EOA</w:t>
            </w:r>
          </w:p>
        </w:tc>
        <w:tc>
          <w:tcPr>
            <w:tcW w:type="dxa" w:w="2351"/>
          </w:tcPr>
          <w:p>
            <w:pPr>
              <w:spacing w:before="40" w:after="40"/>
            </w:pPr>
            <w:r>
              <w:rPr>
                <w:sz w:val="18"/>
              </w:rPr>
              <w:t>Agent auto-transfers (no user action)</w:t>
            </w:r>
          </w:p>
        </w:tc>
        <w:tc>
          <w:tcPr>
            <w:tcW w:type="dxa" w:w="2351"/>
          </w:tcPr>
          <w:p>
            <w:pPr>
              <w:spacing w:before="40" w:after="40"/>
            </w:pPr>
            <w:r>
              <w:rPr>
                <w:sz w:val="18"/>
              </w:rPr>
              <w:t>Yes</w:t>
            </w:r>
          </w:p>
        </w:tc>
      </w:tr>
      <w:tr>
        <w:tc>
          <w:tcPr>
            <w:tcW w:type="dxa" w:w="2351"/>
          </w:tcPr>
          <w:p>
            <w:pPr>
              <w:spacing w:before="40" w:after="40"/>
            </w:pPr>
            <w:r>
              <w:rPr>
                <w:sz w:val="18"/>
              </w:rPr>
              <w:t>EOA low, Safe depleted</w:t>
            </w:r>
          </w:p>
        </w:tc>
        <w:tc>
          <w:tcPr>
            <w:tcW w:type="dxa" w:w="2351"/>
          </w:tcPr>
          <w:p>
            <w:pPr>
              <w:spacing w:before="40" w:after="40"/>
            </w:pPr>
            <w:r>
              <w:rPr>
                <w:sz w:val="18"/>
              </w:rPr>
              <w:t>User funds EOA</w:t>
            </w:r>
          </w:p>
        </w:tc>
        <w:tc>
          <w:tcPr>
            <w:tcW w:type="dxa" w:w="2351"/>
          </w:tcPr>
          <w:p>
            <w:pPr>
              <w:spacing w:before="40" w:after="40"/>
            </w:pPr>
            <w:r>
              <w:rPr>
                <w:sz w:val="18"/>
              </w:rPr>
              <w:t>User funds Safe</w:t>
            </w:r>
          </w:p>
        </w:tc>
        <w:tc>
          <w:tcPr>
            <w:tcW w:type="dxa" w:w="2351"/>
          </w:tcPr>
          <w:p>
            <w:pPr>
              <w:spacing w:before="40" w:after="40"/>
            </w:pPr>
            <w:r>
              <w:rPr>
                <w:sz w:val="18"/>
              </w:rPr>
              <w:t>Yes</w:t>
            </w:r>
          </w:p>
        </w:tc>
      </w:tr>
      <w:tr>
        <w:tc>
          <w:tcPr>
            <w:tcW w:type="dxa" w:w="2351"/>
          </w:tcPr>
          <w:p>
            <w:pPr>
              <w:spacing w:before="40" w:after="40"/>
            </w:pPr>
            <w:r>
              <w:rPr>
                <w:sz w:val="18"/>
              </w:rPr>
              <w:t>EOA low, Safe empty</w:t>
            </w:r>
          </w:p>
        </w:tc>
        <w:tc>
          <w:tcPr>
            <w:tcW w:type="dxa" w:w="2351"/>
          </w:tcPr>
          <w:p>
            <w:pPr>
              <w:spacing w:before="40" w:after="40"/>
            </w:pPr>
            <w:r>
              <w:rPr>
                <w:sz w:val="18"/>
              </w:rPr>
              <w:t>User funds EOA</w:t>
            </w:r>
          </w:p>
        </w:tc>
        <w:tc>
          <w:tcPr>
            <w:tcW w:type="dxa" w:w="2351"/>
          </w:tcPr>
          <w:p>
            <w:pPr>
              <w:spacing w:before="40" w:after="40"/>
            </w:pPr>
            <w:r>
              <w:rPr>
                <w:sz w:val="18"/>
              </w:rPr>
              <w:t>User funds Safe → agent auto-transfers</w:t>
            </w:r>
          </w:p>
        </w:tc>
        <w:tc>
          <w:tcPr>
            <w:tcW w:type="dxa" w:w="2351"/>
          </w:tcPr>
          <w:p>
            <w:pPr>
              <w:spacing w:before="40" w:after="40"/>
            </w:pPr>
            <w:r>
              <w:rPr>
                <w:sz w:val="18"/>
              </w:rPr>
              <w:t>Yes</w:t>
            </w:r>
          </w:p>
        </w:tc>
      </w:tr>
      <w:tr>
        <w:tc>
          <w:tcPr>
            <w:tcW w:type="dxa" w:w="2351"/>
          </w:tcPr>
          <w:p>
            <w:pPr>
              <w:spacing w:before="40" w:after="40"/>
            </w:pPr>
            <w:r>
              <w:rPr>
                <w:sz w:val="18"/>
              </w:rPr>
              <w:t>EOA critically low</w:t>
            </w:r>
          </w:p>
        </w:tc>
        <w:tc>
          <w:tcPr>
            <w:tcW w:type="dxa" w:w="2351"/>
          </w:tcPr>
          <w:p>
            <w:pPr>
              <w:spacing w:before="40" w:after="40"/>
            </w:pPr>
            <w:r>
              <w:rPr>
                <w:sz w:val="18"/>
              </w:rPr>
              <w:t>User funds EOA</w:t>
            </w:r>
          </w:p>
        </w:tc>
        <w:tc>
          <w:tcPr>
            <w:tcW w:type="dxa" w:w="2351"/>
          </w:tcPr>
          <w:p>
            <w:pPr>
              <w:spacing w:before="40" w:after="40"/>
            </w:pPr>
            <w:r>
              <w:rPr>
                <w:sz w:val="18"/>
              </w:rPr>
              <w:t>User funds EOA (fallback)</w:t>
            </w:r>
          </w:p>
        </w:tc>
        <w:tc>
          <w:tcPr>
            <w:tcW w:type="dxa" w:w="2351"/>
          </w:tcPr>
          <w:p>
            <w:pPr>
              <w:spacing w:before="40" w:after="40"/>
            </w:pPr>
            <w:r>
              <w:rPr>
                <w:sz w:val="18"/>
              </w:rPr>
              <w:t>No</w:t>
            </w:r>
          </w:p>
        </w:tc>
      </w:tr>
      <w:tr>
        <w:tc>
          <w:tcPr>
            <w:tcW w:type="dxa" w:w="2351"/>
          </w:tcPr>
          <w:p>
            <w:pPr>
              <w:spacing w:before="40" w:after="40"/>
            </w:pPr>
            <w:r>
              <w:rPr>
                <w:sz w:val="18"/>
              </w:rPr>
              <w:t>Safe ERC20 low</w:t>
            </w:r>
          </w:p>
        </w:tc>
        <w:tc>
          <w:tcPr>
            <w:tcW w:type="dxa" w:w="2351"/>
          </w:tcPr>
          <w:p>
            <w:pPr>
              <w:spacing w:before="40" w:after="40"/>
            </w:pPr>
            <w:r>
              <w:rPr>
                <w:sz w:val="18"/>
              </w:rPr>
              <w:t>User funds Safe</w:t>
            </w:r>
          </w:p>
        </w:tc>
        <w:tc>
          <w:tcPr>
            <w:tcW w:type="dxa" w:w="2351"/>
          </w:tcPr>
          <w:p>
            <w:pPr>
              <w:spacing w:before="40" w:after="40"/>
            </w:pPr>
            <w:r>
              <w:rPr>
                <w:sz w:val="18"/>
              </w:rPr>
              <w:t>User funds Safe</w:t>
            </w:r>
          </w:p>
        </w:tc>
        <w:tc>
          <w:tcPr>
            <w:tcW w:type="dxa" w:w="2351"/>
          </w:tcPr>
          <w:p>
            <w:pPr>
              <w:spacing w:before="40" w:after="40"/>
            </w:pPr>
            <w:r>
              <w:rPr>
                <w:sz w:val="18"/>
              </w:rPr>
              <w:t>No</w:t>
            </w:r>
          </w:p>
        </w:tc>
      </w:tr>
      <w:tr>
        <w:tc>
          <w:tcPr>
            <w:tcW w:type="dxa" w:w="2351"/>
          </w:tcPr>
          <w:p>
            <w:pPr>
              <w:spacing w:before="40" w:after="40"/>
            </w:pPr>
            <w:r>
              <w:rPr>
                <w:sz w:val="18"/>
              </w:rPr>
              <w:t>Safe native low, EOA fine</w:t>
            </w:r>
          </w:p>
        </w:tc>
        <w:tc>
          <w:tcPr>
            <w:tcW w:type="dxa" w:w="2351"/>
          </w:tcPr>
          <w:p>
            <w:pPr>
              <w:spacing w:before="40" w:after="40"/>
            </w:pPr>
            <w:r>
              <w:rPr>
                <w:sz w:val="18"/>
              </w:rPr>
              <w:t>User funds Safe</w:t>
            </w:r>
          </w:p>
        </w:tc>
        <w:tc>
          <w:tcPr>
            <w:tcW w:type="dxa" w:w="2351"/>
          </w:tcPr>
          <w:p>
            <w:pPr>
              <w:spacing w:before="40" w:after="40"/>
            </w:pPr>
            <w:r>
              <w:rPr>
                <w:sz w:val="18"/>
              </w:rPr>
              <w:t>User funds Safe</w:t>
            </w:r>
          </w:p>
        </w:tc>
        <w:tc>
          <w:tcPr>
            <w:tcW w:type="dxa" w:w="2351"/>
          </w:tcPr>
          <w:p>
            <w:pPr>
              <w:spacing w:before="40" w:after="40"/>
            </w:pPr>
            <w:r>
              <w:rPr>
                <w:sz w:val="18"/>
              </w:rPr>
              <w:t>No</w:t>
            </w:r>
          </w:p>
        </w:tc>
      </w:tr>
      <w:tr>
        <w:tc>
          <w:tcPr>
            <w:tcW w:type="dxa" w:w="2351"/>
          </w:tcPr>
          <w:p>
            <w:pPr>
              <w:spacing w:before="40" w:after="40"/>
            </w:pPr>
            <w:r>
              <w:rPr>
                <w:sz w:val="18"/>
              </w:rPr>
              <w:t>Both fine</w:t>
            </w:r>
          </w:p>
        </w:tc>
        <w:tc>
          <w:tcPr>
            <w:tcW w:type="dxa" w:w="2351"/>
          </w:tcPr>
          <w:p>
            <w:pPr>
              <w:spacing w:before="40" w:after="40"/>
            </w:pPr>
            <w:r>
              <w:rPr>
                <w:sz w:val="18"/>
              </w:rPr>
              <w:t>No action</w:t>
            </w:r>
          </w:p>
        </w:tc>
        <w:tc>
          <w:tcPr>
            <w:tcW w:type="dxa" w:w="2351"/>
          </w:tcPr>
          <w:p>
            <w:pPr>
              <w:spacing w:before="40" w:after="40"/>
            </w:pPr>
            <w:r>
              <w:rPr>
                <w:sz w:val="18"/>
              </w:rPr>
              <w:t>No action</w:t>
            </w:r>
          </w:p>
        </w:tc>
        <w:tc>
          <w:tcPr>
            <w:tcW w:type="dxa" w:w="2351"/>
          </w:tcPr>
          <w:p>
            <w:pPr>
              <w:spacing w:before="40" w:after="40"/>
            </w:pPr>
            <w:r>
              <w:rPr>
                <w:sz w:val="18"/>
              </w:rPr>
              <w:t>No</w:t>
            </w:r>
          </w:p>
        </w:tc>
      </w:tr>
    </w:tbl>
    <w:p>
      <w:r>
        <w:br w:type="page"/>
      </w:r>
    </w:p>
    <w:p>
      <w:pPr>
        <w:pStyle w:val="Heading1"/>
      </w:pPr>
      <w:r>
        <w:t>7. Configuration Changes</w:t>
      </w:r>
    </w:p>
    <w:p>
      <w:pPr>
        <w:pStyle w:val="Heading2"/>
      </w:pPr>
      <w:r>
        <w:t>New Parameter: auto_transfer</w:t>
      </w:r>
    </w:p>
    <w:p>
      <w:r>
        <w:t>A new auto_transfer configuration is added to the funds_manager skill's Params model. This drives the FSM round and is configured per chain:</w:t>
      </w:r>
    </w:p>
    <w:p>
      <w:pPr>
        <w:pStyle w:val="ListBullet"/>
      </w:pPr>
      <w:r>
        <w:t>threshold — EOA balance below which auto-transfer triggers (e.g., 0.21 xDAI for Omenstrat).</w:t>
      </w:r>
    </w:p>
    <w:p>
      <w:pPr>
        <w:pStyle w:val="ListBullet"/>
      </w:pPr>
      <w:r>
        <w:t>topup — target EOA balance after auto-transfer (e.g., 2.0 xDAI for Omenstrat).</w:t>
      </w:r>
    </w:p>
    <w:p>
      <w:r>
        <w:t>These values are what is currently configured as the EOA threshold/topup in fund_requirements. They move to the new auto_transfer config.</w:t>
      </w:r>
    </w:p>
    <w:p>
      <w:pPr>
        <w:pStyle w:val="Heading2"/>
      </w:pPr>
      <w:r>
        <w:t>Reconfigured: EOA Threshold in fund_requirements</w:t>
      </w:r>
    </w:p>
    <w:p>
      <w:r>
        <w:t>The existing EOA native threshold in fund_requirements is lowered to safe_tx_value — the minimum balance needed to execute a Safe transaction. This ensures /funds-status only reports an EOA deficit as a last resort (Path 3).</w:t>
      </w:r>
    </w:p>
    <w:p>
      <w:pPr>
        <w:pStyle w:val="Heading2"/>
      </w:pPr>
      <w:r>
        <w:t>Example: Omenstrat (Gnosis)</w:t>
      </w:r>
    </w:p>
    <w:p>
      <w:r>
        <w:rPr>
          <w:b/>
        </w:rPr>
        <w:t>Before:</w:t>
      </w:r>
    </w:p>
    <w:p>
      <w:pPr>
        <w:pStyle w:val="ListBullet"/>
      </w:pPr>
      <w:r>
        <w:t>fund_requirements → agent EOA: threshold = 0.21 xDAI, topup = 2.0 xDAI</w:t>
      </w:r>
    </w:p>
    <w:p>
      <w:pPr>
        <w:pStyle w:val="ListBullet"/>
      </w:pPr>
      <w:r>
        <w:t>auto_transfer: (does not exist)</w:t>
      </w:r>
    </w:p>
    <w:p>
      <w:r>
        <w:rPr>
          <w:b/>
        </w:rPr>
        <w:t>After:</w:t>
      </w:r>
    </w:p>
    <w:p>
      <w:pPr>
        <w:pStyle w:val="ListBullet"/>
      </w:pPr>
      <w:r>
        <w:t>fund_requirements → agent EOA: threshold = 0.001 xDAI (safe_tx_value), topup = 0.01 xDAI</w:t>
      </w:r>
    </w:p>
    <w:p>
      <w:pPr>
        <w:pStyle w:val="ListBullet"/>
      </w:pPr>
      <w:r>
        <w:t>auto_transfer → gnosis: threshold = 0.21 xDAI, topup = 2.0 xDAI</w:t>
      </w:r>
    </w:p>
    <w:p>
      <w:pPr>
        <w:pStyle w:val="Heading2"/>
      </w:pPr>
      <w:r>
        <w:t>Configuration Guideline</w:t>
      </w:r>
    </w:p>
    <w:p>
      <w:r>
        <w:rPr>
          <w:b/>
        </w:rPr>
        <w:t xml:space="preserve">Deployment requirement: </w:t>
      </w:r>
      <w:r>
        <w:t>The auto_transfer threshold must be configured higher than the gas cost of a Safe transaction on that chain. This ensures the EOA can always afford the auto-transfer when the threshold triggers. All current agent configurations meet this requirement.</w:t>
      </w:r>
    </w:p>
    <w:p>
      <w:r>
        <w:br w:type="page"/>
      </w:r>
    </w:p>
    <w:p>
      <w:pPr>
        <w:pStyle w:val="Heading1"/>
      </w:pPr>
      <w:r>
        <w:t>8. Implementation Plan</w:t>
      </w:r>
    </w:p>
    <w:p>
      <w:pPr>
        <w:pStyle w:val="Heading2"/>
      </w:pPr>
      <w:r>
        <w:t>Phase 1: Core Logic (funds-manager repo)</w:t>
      </w:r>
    </w:p>
    <w:p>
      <w:pPr>
        <w:pStyle w:val="ListNumber"/>
      </w:pPr>
      <w:r>
        <w:t>Add auto_transfer config to the Params model (backward compatible — defaults to empty).</w:t>
      </w:r>
    </w:p>
    <w:p>
      <w:pPr>
        <w:pStyle w:val="ListNumber"/>
      </w:pPr>
      <w:r>
        <w:t>Create new FSM rounds: CheckFundsRound, PrepareSafeToEOATransferRound, FinishedFundsTransferRound.</w:t>
      </w:r>
    </w:p>
    <w:p>
      <w:pPr>
        <w:pStyle w:val="ListNumber"/>
      </w:pPr>
      <w:r>
        <w:t>Create FSM behaviours tied to the rounds.</w:t>
      </w:r>
    </w:p>
    <w:p>
      <w:pPr>
        <w:pStyle w:val="ListNumber"/>
      </w:pPr>
      <w:r>
        <w:t>Create FundsManagerAbciApp with transition mapping.</w:t>
      </w:r>
    </w:p>
    <w:p>
      <w:pPr>
        <w:pStyle w:val="ListNumber"/>
      </w:pPr>
      <w:r>
        <w:t>Update skill.yaml to register new components and add TransactionSettlementAbci dependency.</w:t>
      </w:r>
    </w:p>
    <w:p>
      <w:pPr>
        <w:pStyle w:val="ListNumber"/>
      </w:pPr>
      <w:r>
        <w:t>Existing get_funds_status() code and SimpleBehaviour — zero changes.</w:t>
      </w:r>
    </w:p>
    <w:p>
      <w:pPr>
        <w:pStyle w:val="Heading2"/>
      </w:pPr>
      <w:r>
        <w:t>Phase 2: Per-Agent Integration (external repos)</w:t>
      </w:r>
    </w:p>
    <w:p>
      <w:pPr>
        <w:pStyle w:val="ListNumber"/>
      </w:pPr>
      <w:r>
        <w:t>Each agent updates composition.py to import and compose FundsManagerAbciApp at the start of their FSM cycle.</w:t>
      </w:r>
    </w:p>
    <w:p>
      <w:pPr>
        <w:pStyle w:val="ListNumber"/>
      </w:pPr>
      <w:r>
        <w:t>Each agent updates service.yaml: lower EOA threshold to safe_tx_value, add auto_transfer config.</w:t>
      </w:r>
    </w:p>
    <w:p>
      <w:pPr>
        <w:pStyle w:val="ListNumber"/>
      </w:pPr>
      <w:r>
        <w:t>Optimus: enable Safe native funding (currently disabled).</w:t>
      </w:r>
    </w:p>
    <w:p>
      <w:pPr>
        <w:pStyle w:val="ListNumber"/>
      </w:pPr>
      <w:r>
        <w:t>Agents Fun: ensure FundsManagerAbciApp runs before CheckFundsBehaviour in the FSM.</w:t>
      </w:r>
    </w:p>
    <w:p>
      <w:pPr>
        <w:pStyle w:val="ListNumber"/>
      </w:pPr>
      <w:r>
        <w:t>Polystrat: small handler fix to not suppress native POL deficit when needed for auto-transfer.</w:t>
      </w:r>
    </w:p>
    <w:p>
      <w:pPr>
        <w:pStyle w:val="Heading2"/>
      </w:pPr>
      <w:r>
        <w:t>Phase 3: Testing</w:t>
      </w:r>
    </w:p>
    <w:p>
      <w:pPr>
        <w:pStyle w:val="ListNumber"/>
      </w:pPr>
      <w:r>
        <w:t>Unit tests for CheckFundsRound decision logic (all cases).</w:t>
      </w:r>
    </w:p>
    <w:p>
      <w:pPr>
        <w:pStyle w:val="ListNumber"/>
      </w:pPr>
      <w:r>
        <w:t>Unit tests for Safe transaction payload building.</w:t>
      </w:r>
    </w:p>
    <w:p>
      <w:pPr>
        <w:pStyle w:val="ListNumber"/>
      </w:pPr>
      <w:r>
        <w:t>Unit tests for FSM transitions (transfer vs no-transfer paths).</w:t>
      </w:r>
    </w:p>
    <w:p>
      <w:pPr>
        <w:pStyle w:val="ListNumber"/>
      </w:pPr>
      <w:r>
        <w:t>Integration tests for full round-trip with mocked multicall and Safe tx.</w:t>
      </w:r>
    </w:p>
    <w:p>
      <w:pPr>
        <w:pStyle w:val="ListNumber"/>
      </w:pPr>
      <w:r>
        <w:t>Per-agent tests for FSM composition.</w:t>
      </w:r>
    </w:p>
    <w:p>
      <w:pPr>
        <w:pStyle w:val="Heading2"/>
      </w:pPr>
      <w:r>
        <w:t>Phase 4: Follow-up</w:t>
      </w:r>
    </w:p>
    <w:p>
      <w:r>
        <w:t>Address the Polystrat USDC→POL handler adjustment interaction. The handler must be made aware not to suppress native POL deficits that the auto-transfer depends on.</w:t>
      </w:r>
    </w:p>
    <w:p>
      <w:r>
        <w:br w:type="page"/>
      </w:r>
    </w:p>
    <w:p>
      <w:pPr>
        <w:pStyle w:val="Heading1"/>
      </w:pPr>
      <w:r>
        <w:t>9. Edge Cases &amp; Mitigations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spacing w:before="40" w:after="40"/>
            </w:pPr>
            <w:r>
              <w:rPr>
                <w:b/>
                <w:color w:val="FFFFFF"/>
                <w:sz w:val="18"/>
              </w:rPr>
              <w:t>Edge Case</w:t>
            </w:r>
          </w:p>
        </w:tc>
        <w:tc>
          <w:tcPr>
            <w:tcW w:type="dxa" w:w="3135"/>
            <w:shd w:fill="2F5496" w:val="clear"/>
          </w:tcPr>
          <w:p>
            <w:pPr>
              <w:spacing w:before="40" w:after="40"/>
            </w:pPr>
            <w:r>
              <w:rPr>
                <w:b/>
                <w:color w:val="FFFFFF"/>
                <w:sz w:val="18"/>
              </w:rPr>
              <w:t>What Happens</w:t>
            </w:r>
          </w:p>
        </w:tc>
        <w:tc>
          <w:tcPr>
            <w:tcW w:type="dxa" w:w="3135"/>
            <w:shd w:fill="2F5496" w:val="clear"/>
          </w:tcPr>
          <w:p>
            <w:pPr>
              <w:spacing w:before="40" w:after="40"/>
            </w:pPr>
            <w:r>
              <w:rPr>
                <w:b/>
                <w:color w:val="FFFFFF"/>
                <w:sz w:val="18"/>
              </w:rPr>
              <w:t>Mitigation</w:t>
            </w:r>
          </w:p>
        </w:tc>
      </w:tr>
      <w:tr>
        <w:tc>
          <w:tcPr>
            <w:tcW w:type="dxa" w:w="3135"/>
            <w:shd w:fill="2F5496" w:val="clear"/>
          </w:tcPr>
          <w:p>
            <w:pPr>
              <w:spacing w:before="40" w:after="40"/>
            </w:pPr>
            <w:r>
              <w:rPr>
                <w:b/>
                <w:color w:val="FFFFFF"/>
                <w:sz w:val="18"/>
              </w:rPr>
              <w:t>Edge Case</w:t>
            </w:r>
          </w:p>
        </w:tc>
        <w:tc>
          <w:tcPr>
            <w:tcW w:type="dxa" w:w="3135"/>
            <w:shd w:fill="2F5496" w:val="clear"/>
          </w:tcPr>
          <w:p>
            <w:pPr>
              <w:spacing w:before="40" w:after="40"/>
            </w:pPr>
            <w:r>
              <w:rPr>
                <w:b/>
                <w:color w:val="FFFFFF"/>
                <w:sz w:val="18"/>
              </w:rPr>
              <w:t>What Happens</w:t>
            </w:r>
          </w:p>
        </w:tc>
        <w:tc>
          <w:tcPr>
            <w:tcW w:type="dxa" w:w="3135"/>
            <w:shd w:fill="2F5496" w:val="clear"/>
          </w:tcPr>
          <w:p>
            <w:pPr>
              <w:spacing w:before="40" w:after="40"/>
            </w:pPr>
            <w:r>
              <w:rPr>
                <w:b/>
                <w:color w:val="FFFFFF"/>
                <w:sz w:val="18"/>
              </w:rPr>
              <w:t>Mitigation</w:t>
            </w:r>
          </w:p>
        </w:tc>
      </w:tr>
      <w:tr>
        <w:tc>
          <w:tcPr>
            <w:tcW w:type="dxa" w:w="3135"/>
          </w:tcPr>
          <w:p>
            <w:pPr>
              <w:spacing w:before="40" w:after="40"/>
            </w:pPr>
            <w:r>
              <w:rPr>
                <w:sz w:val="18"/>
              </w:rPr>
              <w:t>Auto-transfer depletes Safe</w:t>
            </w:r>
          </w:p>
        </w:tc>
        <w:tc>
          <w:tcPr>
            <w:tcW w:type="dxa" w:w="3135"/>
          </w:tcPr>
          <w:p>
            <w:pPr>
              <w:spacing w:before="40" w:after="40"/>
            </w:pPr>
            <w:r>
              <w:rPr>
                <w:sz w:val="18"/>
              </w:rPr>
              <w:t>Safe falls below its own threshold.</w:t>
            </w:r>
          </w:p>
        </w:tc>
        <w:tc>
          <w:tcPr>
            <w:tcW w:type="dxa" w:w="3135"/>
          </w:tcPr>
          <w:p>
            <w:pPr>
              <w:spacing w:before="40" w:after="40"/>
            </w:pPr>
            <w:r>
              <w:rPr>
                <w:sz w:val="18"/>
              </w:rPr>
              <w:t>Expected. Safe deficit reported to user via existing flow. User funds Safe.</w:t>
            </w:r>
          </w:p>
        </w:tc>
      </w:tr>
      <w:tr>
        <w:tc>
          <w:tcPr>
            <w:tcW w:type="dxa" w:w="3135"/>
          </w:tcPr>
          <w:p>
            <w:pPr>
              <w:spacing w:before="40" w:after="40"/>
            </w:pPr>
            <w:r>
              <w:rPr>
                <w:sz w:val="18"/>
              </w:rPr>
              <w:t>Transfer fails</w:t>
            </w:r>
          </w:p>
        </w:tc>
        <w:tc>
          <w:tcPr>
            <w:tcW w:type="dxa" w:w="3135"/>
          </w:tcPr>
          <w:p>
            <w:pPr>
              <w:spacing w:before="40" w:after="40"/>
            </w:pPr>
            <w:r>
              <w:rPr>
                <w:sz w:val="18"/>
              </w:rPr>
              <w:t>TransactionSettlementAbci retries. If all retries exhausted, no transfer this cycle.</w:t>
            </w:r>
          </w:p>
        </w:tc>
        <w:tc>
          <w:tcPr>
            <w:tcW w:type="dxa" w:w="3135"/>
          </w:tcPr>
          <w:p>
            <w:pPr>
              <w:spacing w:before="40" w:after="40"/>
            </w:pPr>
            <w:r>
              <w:rPr>
                <w:sz w:val="18"/>
              </w:rPr>
              <w:t>Next FSM cycle re-evaluates and retries. If EOA drains to safe_tx_value, Path 3 kicks in.</w:t>
            </w:r>
          </w:p>
        </w:tc>
      </w:tr>
      <w:tr>
        <w:tc>
          <w:tcPr>
            <w:tcW w:type="dxa" w:w="3135"/>
          </w:tcPr>
          <w:p>
            <w:pPr>
              <w:spacing w:before="40" w:after="40"/>
            </w:pPr>
            <w:r>
              <w:rPr>
                <w:sz w:val="18"/>
              </w:rPr>
              <w:t>Agent restart during transfer</w:t>
            </w:r>
          </w:p>
        </w:tc>
        <w:tc>
          <w:tcPr>
            <w:tcW w:type="dxa" w:w="3135"/>
          </w:tcPr>
          <w:p>
            <w:pPr>
              <w:spacing w:before="40" w:after="40"/>
            </w:pPr>
            <w:r>
              <w:rPr>
                <w:sz w:val="18"/>
              </w:rPr>
              <w:t>In-memory state lost.</w:t>
            </w:r>
          </w:p>
        </w:tc>
        <w:tc>
          <w:tcPr>
            <w:tcW w:type="dxa" w:w="3135"/>
          </w:tcPr>
          <w:p>
            <w:pPr>
              <w:spacing w:before="40" w:after="40"/>
            </w:pPr>
            <w:r>
              <w:rPr>
                <w:sz w:val="18"/>
              </w:rPr>
              <w:t>FSM reads fresh on-chain balances on restart. If transfer confirmed, balances reflect it. If not, re-attempts.</w:t>
            </w:r>
          </w:p>
        </w:tc>
      </w:tr>
      <w:tr>
        <w:tc>
          <w:tcPr>
            <w:tcW w:type="dxa" w:w="3135"/>
          </w:tcPr>
          <w:p>
            <w:pPr>
              <w:spacing w:before="40" w:after="40"/>
            </w:pPr>
            <w:r>
              <w:rPr>
                <w:sz w:val="18"/>
              </w:rPr>
              <w:t>Gas price spike</w:t>
            </w:r>
          </w:p>
        </w:tc>
        <w:tc>
          <w:tcPr>
            <w:tcW w:type="dxa" w:w="3135"/>
          </w:tcPr>
          <w:p>
            <w:pPr>
              <w:spacing w:before="40" w:after="40"/>
            </w:pPr>
            <w:r>
              <w:rPr>
                <w:sz w:val="18"/>
              </w:rPr>
              <w:t>EOA may not afford Safe tx at current gas price.</w:t>
            </w:r>
          </w:p>
        </w:tc>
        <w:tc>
          <w:tcPr>
            <w:tcW w:type="dxa" w:w="3135"/>
          </w:tcPr>
          <w:p>
            <w:pPr>
              <w:spacing w:before="40" w:after="40"/>
            </w:pPr>
            <w:r>
              <w:rPr>
                <w:sz w:val="18"/>
              </w:rPr>
              <w:t>CheckFundsRound estimates gas at runtime. Skips transfer if unaffordable. Retries next cycle.</w:t>
            </w:r>
          </w:p>
        </w:tc>
      </w:tr>
      <w:tr>
        <w:tc>
          <w:tcPr>
            <w:tcW w:type="dxa" w:w="3135"/>
          </w:tcPr>
          <w:p>
            <w:pPr>
              <w:spacing w:before="40" w:after="40"/>
            </w:pPr>
            <w:r>
              <w:rPr>
                <w:sz w:val="18"/>
              </w:rPr>
              <w:t>Concurrent Safe transactions</w:t>
            </w:r>
          </w:p>
        </w:tc>
        <w:tc>
          <w:tcPr>
            <w:tcW w:type="dxa" w:w="3135"/>
          </w:tcPr>
          <w:p>
            <w:pPr>
              <w:spacing w:before="40" w:after="40"/>
            </w:pPr>
            <w:r>
              <w:rPr>
                <w:sz w:val="18"/>
              </w:rPr>
              <w:t>Could conflict with other agent Safe txs.</w:t>
            </w:r>
          </w:p>
        </w:tc>
        <w:tc>
          <w:tcPr>
            <w:tcW w:type="dxa" w:w="3135"/>
          </w:tcPr>
          <w:p>
            <w:pPr>
              <w:spacing w:before="40" w:after="40"/>
            </w:pPr>
            <w:r>
              <w:rPr>
                <w:sz w:val="18"/>
              </w:rPr>
              <w:t>No conflict — FSM serializes all Safe transactions. Auto-transfer blocks other rounds while executing.</w:t>
            </w:r>
          </w:p>
        </w:tc>
      </w:tr>
      <w:tr>
        <w:tc>
          <w:tcPr>
            <w:tcW w:type="dxa" w:w="3135"/>
          </w:tcPr>
          <w:p>
            <w:pPr>
              <w:spacing w:before="40" w:after="40"/>
            </w:pPr>
            <w:r>
              <w:rPr>
                <w:sz w:val="18"/>
              </w:rPr>
              <w:t>Safe has only ERC20, no native</w:t>
            </w:r>
          </w:p>
        </w:tc>
        <w:tc>
          <w:tcPr>
            <w:tcW w:type="dxa" w:w="3135"/>
          </w:tcPr>
          <w:p>
            <w:pPr>
              <w:spacing w:before="40" w:after="40"/>
            </w:pPr>
            <w:r>
              <w:rPr>
                <w:sz w:val="18"/>
              </w:rPr>
              <w:t>Auto-transfer cannot move ERC20 tokens.</w:t>
            </w:r>
          </w:p>
        </w:tc>
        <w:tc>
          <w:tcPr>
            <w:tcW w:type="dxa" w:w="3135"/>
          </w:tcPr>
          <w:p>
            <w:pPr>
              <w:spacing w:before="40" w:after="40"/>
            </w:pPr>
            <w:r>
              <w:rPr>
                <w:sz w:val="18"/>
              </w:rPr>
              <w:t>Treated as "Safe empty." Safe deficit reported. User funds Safe with native tokens.</w:t>
            </w:r>
          </w:p>
        </w:tc>
      </w:tr>
      <w:tr>
        <w:tc>
          <w:tcPr>
            <w:tcW w:type="dxa" w:w="3135"/>
          </w:tcPr>
          <w:p>
            <w:pPr>
              <w:spacing w:before="40" w:after="40"/>
            </w:pPr>
            <w:r>
              <w:rPr>
                <w:sz w:val="18"/>
              </w:rPr>
              <w:t>Multiple chains</w:t>
            </w:r>
          </w:p>
        </w:tc>
        <w:tc>
          <w:tcPr>
            <w:tcW w:type="dxa" w:w="3135"/>
          </w:tcPr>
          <w:p>
            <w:pPr>
              <w:spacing w:before="40" w:after="40"/>
            </w:pPr>
            <w:r>
              <w:rPr>
                <w:sz w:val="18"/>
              </w:rPr>
              <w:t>Agent operates on multiple chains.</w:t>
            </w:r>
          </w:p>
        </w:tc>
        <w:tc>
          <w:tcPr>
            <w:tcW w:type="dxa" w:w="3135"/>
          </w:tcPr>
          <w:p>
            <w:pPr>
              <w:spacing w:before="40" w:after="40"/>
            </w:pPr>
            <w:r>
              <w:rPr>
                <w:sz w:val="18"/>
              </w:rPr>
              <w:t>Each chain evaluated independently. Transfers executed sequentially, one per chain.</w:t>
            </w:r>
          </w:p>
        </w:tc>
      </w:tr>
      <w:tr>
        <w:tc>
          <w:tcPr>
            <w:tcW w:type="dxa" w:w="3135"/>
          </w:tcPr>
          <w:p>
            <w:pPr>
              <w:spacing w:before="40" w:after="40"/>
            </w:pPr>
            <w:r>
              <w:rPr>
                <w:sz w:val="18"/>
              </w:rPr>
              <w:t>MW polls during in-flight transfer</w:t>
            </w:r>
          </w:p>
        </w:tc>
        <w:tc>
          <w:tcPr>
            <w:tcW w:type="dxa" w:w="3135"/>
          </w:tcPr>
          <w:p>
            <w:pPr>
              <w:spacing w:before="40" w:after="40"/>
            </w:pPr>
            <w:r>
              <w:rPr>
                <w:sz w:val="18"/>
              </w:rPr>
              <w:t>On-chain balances haven't updated yet.</w:t>
            </w:r>
          </w:p>
        </w:tc>
        <w:tc>
          <w:tcPr>
            <w:tcW w:type="dxa" w:w="3135"/>
          </w:tcPr>
          <w:p>
            <w:pPr>
              <w:spacing w:before="40" w:after="40"/>
            </w:pPr>
            <w:r>
              <w:rPr>
                <w:sz w:val="18"/>
              </w:rPr>
              <w:t>Benign. EOA is above safe_tx_value threshold, so no deficit reported. Transfer confirms shortly.</w:t>
            </w:r>
          </w:p>
        </w:tc>
      </w:tr>
    </w:tbl>
    <w:p>
      <w:r>
        <w:br w:type="page"/>
      </w:r>
    </w:p>
    <w:p>
      <w:pPr>
        <w:pStyle w:val="Heading1"/>
      </w:pPr>
      <w:r>
        <w:t>10. Decisions Made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spacing w:before="40" w:after="40"/>
            </w:pPr>
            <w:r>
              <w:rPr>
                <w:b/>
                <w:color w:val="FFFFFF"/>
                <w:sz w:val="18"/>
              </w:rPr>
              <w:t>Decision</w:t>
            </w:r>
          </w:p>
        </w:tc>
        <w:tc>
          <w:tcPr>
            <w:tcW w:type="dxa" w:w="3135"/>
            <w:shd w:fill="2F5496" w:val="clear"/>
          </w:tcPr>
          <w:p>
            <w:pPr>
              <w:spacing w:before="40" w:after="40"/>
            </w:pPr>
            <w:r>
              <w:rPr>
                <w:b/>
                <w:color w:val="FFFFFF"/>
                <w:sz w:val="18"/>
              </w:rPr>
              <w:t>Resolution</w:t>
            </w:r>
          </w:p>
        </w:tc>
        <w:tc>
          <w:tcPr>
            <w:tcW w:type="dxa" w:w="3135"/>
            <w:shd w:fill="2F5496" w:val="clear"/>
          </w:tcPr>
          <w:p>
            <w:pPr>
              <w:spacing w:before="40" w:after="40"/>
            </w:pPr>
            <w:r>
              <w:rPr>
                <w:b/>
                <w:color w:val="FFFFFF"/>
                <w:sz w:val="18"/>
              </w:rPr>
              <w:t>Rationale</w:t>
            </w:r>
          </w:p>
        </w:tc>
      </w:tr>
      <w:tr>
        <w:tc>
          <w:tcPr>
            <w:tcW w:type="dxa" w:w="3135"/>
            <w:shd w:fill="2F5496" w:val="clear"/>
          </w:tcPr>
          <w:p>
            <w:pPr>
              <w:spacing w:before="40" w:after="40"/>
            </w:pPr>
            <w:r>
              <w:rPr>
                <w:b/>
                <w:color w:val="FFFFFF"/>
                <w:sz w:val="18"/>
              </w:rPr>
              <w:t>Decision</w:t>
            </w:r>
          </w:p>
        </w:tc>
        <w:tc>
          <w:tcPr>
            <w:tcW w:type="dxa" w:w="3135"/>
            <w:shd w:fill="2F5496" w:val="clear"/>
          </w:tcPr>
          <w:p>
            <w:pPr>
              <w:spacing w:before="40" w:after="40"/>
            </w:pPr>
            <w:r>
              <w:rPr>
                <w:b/>
                <w:color w:val="FFFFFF"/>
                <w:sz w:val="18"/>
              </w:rPr>
              <w:t>Resolution</w:t>
            </w:r>
          </w:p>
        </w:tc>
        <w:tc>
          <w:tcPr>
            <w:tcW w:type="dxa" w:w="3135"/>
            <w:shd w:fill="2F5496" w:val="clear"/>
          </w:tcPr>
          <w:p>
            <w:pPr>
              <w:spacing w:before="40" w:after="40"/>
            </w:pPr>
            <w:r>
              <w:rPr>
                <w:b/>
                <w:color w:val="FFFFFF"/>
                <w:sz w:val="18"/>
              </w:rPr>
              <w:t>Rationale</w:t>
            </w:r>
          </w:p>
        </w:tc>
      </w:tr>
      <w:tr>
        <w:tc>
          <w:tcPr>
            <w:tcW w:type="dxa" w:w="3135"/>
          </w:tcPr>
          <w:p>
            <w:pPr>
              <w:spacing w:before="40" w:after="40"/>
            </w:pPr>
            <w:r>
              <w:rPr>
                <w:sz w:val="18"/>
              </w:rPr>
              <w:t>Single-agent or multi-agent?</w:t>
            </w:r>
          </w:p>
        </w:tc>
        <w:tc>
          <w:tcPr>
            <w:tcW w:type="dxa" w:w="3135"/>
          </w:tcPr>
          <w:p>
            <w:pPr>
              <w:spacing w:before="40" w:after="40"/>
            </w:pPr>
            <w:r>
              <w:rPr>
                <w:sz w:val="18"/>
              </w:rPr>
              <w:t>Single agent (1-of-1) only</w:t>
            </w:r>
          </w:p>
        </w:tc>
        <w:tc>
          <w:tcPr>
            <w:tcW w:type="dxa" w:w="3135"/>
          </w:tcPr>
          <w:p>
            <w:pPr>
              <w:spacing w:before="40" w:after="40"/>
            </w:pPr>
            <w:r>
              <w:rPr>
                <w:sz w:val="18"/>
              </w:rPr>
              <w:t>All current deployments are 1-of-1.</w:t>
            </w:r>
          </w:p>
        </w:tc>
      </w:tr>
      <w:tr>
        <w:tc>
          <w:tcPr>
            <w:tcW w:type="dxa" w:w="3135"/>
          </w:tcPr>
          <w:p>
            <w:pPr>
              <w:spacing w:before="40" w:after="40"/>
            </w:pPr>
            <w:r>
              <w:rPr>
                <w:sz w:val="18"/>
              </w:rPr>
              <w:t>Modify get_funds_status()?</w:t>
            </w:r>
          </w:p>
        </w:tc>
        <w:tc>
          <w:tcPr>
            <w:tcW w:type="dxa" w:w="3135"/>
          </w:tcPr>
          <w:p>
            <w:pPr>
              <w:spacing w:before="40" w:after="40"/>
            </w:pPr>
            <w:r>
              <w:rPr>
                <w:sz w:val="18"/>
              </w:rPr>
              <w:t>No — zero code changes</w:t>
            </w:r>
          </w:p>
        </w:tc>
        <w:tc>
          <w:tcPr>
            <w:tcW w:type="dxa" w:w="3135"/>
          </w:tcPr>
          <w:p>
            <w:pPr>
              <w:spacing w:before="40" w:after="40"/>
            </w:pPr>
            <w:r>
              <w:rPr>
                <w:sz w:val="18"/>
              </w:rPr>
              <w:t>Keep existing /funds-status interaction completely unchanged. Middleware and frontend need no updates.</w:t>
            </w:r>
          </w:p>
        </w:tc>
      </w:tr>
      <w:tr>
        <w:tc>
          <w:tcPr>
            <w:tcW w:type="dxa" w:w="3135"/>
          </w:tcPr>
          <w:p>
            <w:pPr>
              <w:spacing w:before="40" w:after="40"/>
            </w:pPr>
            <w:r>
              <w:rPr>
                <w:sz w:val="18"/>
              </w:rPr>
              <w:t>Transaction execution model?</w:t>
            </w:r>
          </w:p>
        </w:tc>
        <w:tc>
          <w:tcPr>
            <w:tcW w:type="dxa" w:w="3135"/>
          </w:tcPr>
          <w:p>
            <w:pPr>
              <w:spacing w:before="40" w:after="40"/>
            </w:pPr>
            <w:r>
              <w:rPr>
                <w:sz w:val="18"/>
              </w:rPr>
              <w:t>Dedicated FSM round</w:t>
            </w:r>
          </w:p>
        </w:tc>
        <w:tc>
          <w:tcPr>
            <w:tcW w:type="dxa" w:w="3135"/>
          </w:tcPr>
          <w:p>
            <w:pPr>
              <w:spacing w:before="40" w:after="40"/>
            </w:pPr>
            <w:r>
              <w:rPr>
                <w:sz w:val="18"/>
              </w:rPr>
              <w:t>The FSM serializes Safe transactions — no nonce conflicts. While auto-transfer executes, no other Safe tx can run.</w:t>
            </w:r>
          </w:p>
        </w:tc>
      </w:tr>
      <w:tr>
        <w:tc>
          <w:tcPr>
            <w:tcW w:type="dxa" w:w="3135"/>
          </w:tcPr>
          <w:p>
            <w:pPr>
              <w:spacing w:before="40" w:after="40"/>
            </w:pPr>
            <w:r>
              <w:rPr>
                <w:sz w:val="18"/>
              </w:rPr>
              <w:t>Where does the FSM live?</w:t>
            </w:r>
          </w:p>
        </w:tc>
        <w:tc>
          <w:tcPr>
            <w:tcW w:type="dxa" w:w="3135"/>
          </w:tcPr>
          <w:p>
            <w:pPr>
              <w:spacing w:before="40" w:after="40"/>
            </w:pPr>
            <w:r>
              <w:rPr>
                <w:sz w:val="18"/>
              </w:rPr>
              <w:t>In the funds-manager repo</w:t>
            </w:r>
          </w:p>
        </w:tc>
        <w:tc>
          <w:tcPr>
            <w:tcW w:type="dxa" w:w="3135"/>
          </w:tcPr>
          <w:p>
            <w:pPr>
              <w:spacing w:before="40" w:after="40"/>
            </w:pPr>
            <w:r>
              <w:rPr>
                <w:sz w:val="18"/>
              </w:rPr>
              <w:t>All agents import and compose the same AbciApp. No per-agent reimplementation.</w:t>
            </w:r>
          </w:p>
        </w:tc>
      </w:tr>
      <w:tr>
        <w:tc>
          <w:tcPr>
            <w:tcW w:type="dxa" w:w="3135"/>
          </w:tcPr>
          <w:p>
            <w:pPr>
              <w:spacing w:before="40" w:after="40"/>
            </w:pPr>
            <w:r>
              <w:rPr>
                <w:sz w:val="18"/>
              </w:rPr>
              <w:t>Separate safe_tx_gas_cost config?</w:t>
            </w:r>
          </w:p>
        </w:tc>
        <w:tc>
          <w:tcPr>
            <w:tcW w:type="dxa" w:w="3135"/>
          </w:tcPr>
          <w:p>
            <w:pPr>
              <w:spacing w:before="40" w:after="40"/>
            </w:pPr>
            <w:r>
              <w:rPr>
                <w:sz w:val="18"/>
              </w:rPr>
              <w:t>No</w:t>
            </w:r>
          </w:p>
        </w:tc>
        <w:tc>
          <w:tcPr>
            <w:tcW w:type="dxa" w:w="3135"/>
          </w:tcPr>
          <w:p>
            <w:pPr>
              <w:spacing w:before="40" w:after="40"/>
            </w:pPr>
            <w:r>
              <w:rPr>
                <w:sz w:val="18"/>
              </w:rPr>
              <w:t>Gas cost is a runtime value. Thresholds must be configured above it (deployment guideline).</w:t>
            </w:r>
          </w:p>
        </w:tc>
      </w:tr>
      <w:tr>
        <w:tc>
          <w:tcPr>
            <w:tcW w:type="dxa" w:w="3135"/>
          </w:tcPr>
          <w:p>
            <w:pPr>
              <w:spacing w:before="40" w:after="40"/>
            </w:pPr>
            <w:r>
              <w:rPr>
                <w:sz w:val="18"/>
              </w:rPr>
              <w:t>Optimus Safe enablement?</w:t>
            </w:r>
          </w:p>
        </w:tc>
        <w:tc>
          <w:tcPr>
            <w:tcW w:type="dxa" w:w="3135"/>
          </w:tcPr>
          <w:p>
            <w:pPr>
              <w:spacing w:before="40" w:after="40"/>
            </w:pPr>
            <w:r>
              <w:rPr>
                <w:sz w:val="18"/>
              </w:rPr>
              <w:t>Yes, required</w:t>
            </w:r>
          </w:p>
        </w:tc>
        <w:tc>
          <w:tcPr>
            <w:tcW w:type="dxa" w:w="3135"/>
          </w:tcPr>
          <w:p>
            <w:pPr>
              <w:spacing w:before="40" w:after="40"/>
            </w:pPr>
            <w:r>
              <w:rPr>
                <w:sz w:val="18"/>
              </w:rPr>
              <w:t>Optimus must enable Safe native funding to use auto-transfer.</w:t>
            </w:r>
          </w:p>
        </w:tc>
      </w:tr>
      <w:tr>
        <w:tc>
          <w:tcPr>
            <w:tcW w:type="dxa" w:w="3135"/>
          </w:tcPr>
          <w:p>
            <w:pPr>
              <w:spacing w:before="40" w:after="40"/>
            </w:pPr>
            <w:r>
              <w:rPr>
                <w:sz w:val="18"/>
              </w:rPr>
              <w:t>Move agent-specific swap logic?</w:t>
            </w:r>
          </w:p>
        </w:tc>
        <w:tc>
          <w:tcPr>
            <w:tcW w:type="dxa" w:w="3135"/>
          </w:tcPr>
          <w:p>
            <w:pPr>
              <w:spacing w:before="40" w:after="40"/>
            </w:pPr>
            <w:r>
              <w:rPr>
                <w:sz w:val="18"/>
              </w:rPr>
              <w:t>No — stays in each agent</w:t>
            </w:r>
          </w:p>
        </w:tc>
        <w:tc>
          <w:tcPr>
            <w:tcW w:type="dxa" w:w="3135"/>
          </w:tcPr>
          <w:p>
            <w:pPr>
              <w:spacing w:before="40" w:after="40"/>
            </w:pPr>
            <w:r>
              <w:rPr>
                <w:sz w:val="18"/>
              </w:rPr>
              <w:t>x402 swaps, wxDAI folding, USDC→POL conversion remain in per-agent handlers. Funds manager focuses on native token management.</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