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0CD" w:rsidRDefault="00C240CD">
      <w:pPr>
        <w:rPr>
          <w:rFonts w:ascii="Times New Roman" w:hAnsi="Times New Roman" w:cs="Times New Roman"/>
          <w:bCs/>
          <w:sz w:val="24"/>
          <w:szCs w:val="24"/>
          <w:u w:val="single"/>
        </w:rPr>
      </w:pPr>
      <w:r w:rsidRPr="007E5F2B">
        <w:rPr>
          <w:rFonts w:ascii="Times New Roman" w:hAnsi="Times New Roman" w:cs="Times New Roman"/>
          <w:bCs/>
          <w:sz w:val="36"/>
          <w:szCs w:val="36"/>
          <w:u w:val="single"/>
        </w:rPr>
        <w:t xml:space="preserve">Results </w:t>
      </w:r>
      <w:r w:rsidRPr="007E5F2B">
        <w:rPr>
          <w:rFonts w:ascii="Times New Roman" w:hAnsi="Times New Roman" w:cs="Times New Roman"/>
          <w:bCs/>
          <w:sz w:val="24"/>
          <w:szCs w:val="24"/>
          <w:u w:val="single"/>
        </w:rPr>
        <w:t>- “</w:t>
      </w:r>
      <w:r w:rsidRPr="007E5F2B">
        <w:rPr>
          <w:rFonts w:ascii="Times New Roman" w:hAnsi="Times New Roman" w:cs="Times New Roman"/>
          <w:b/>
          <w:bCs/>
          <w:sz w:val="24"/>
          <w:szCs w:val="24"/>
          <w:u w:val="single"/>
        </w:rPr>
        <w:t>A Review of Voltage Distribution on Metal Oxide Surge Arrester and Suggestions for Improvement in High Voltage Applications</w:t>
      </w:r>
      <w:r w:rsidRPr="007E5F2B">
        <w:rPr>
          <w:rFonts w:ascii="Times New Roman" w:hAnsi="Times New Roman" w:cs="Times New Roman"/>
          <w:bCs/>
          <w:sz w:val="24"/>
          <w:szCs w:val="24"/>
          <w:u w:val="single"/>
        </w:rPr>
        <w:t>”</w:t>
      </w:r>
    </w:p>
    <w:p w:rsidR="007E5F2B" w:rsidRDefault="007E5F2B">
      <w:pPr>
        <w:rPr>
          <w:rFonts w:ascii="Times New Roman" w:hAnsi="Times New Roman" w:cs="Times New Roman"/>
          <w:bCs/>
          <w:sz w:val="24"/>
          <w:szCs w:val="24"/>
          <w:u w:val="single"/>
        </w:rPr>
      </w:pPr>
    </w:p>
    <w:p w:rsidR="007E5F2B" w:rsidRPr="007E5F2B" w:rsidRDefault="007E5F2B">
      <w:pPr>
        <w:rPr>
          <w:u w:val="single"/>
        </w:rPr>
      </w:pPr>
      <w:r>
        <w:rPr>
          <w:rFonts w:ascii="Times New Roman" w:hAnsi="Times New Roman" w:cs="Times New Roman"/>
          <w:bCs/>
          <w:sz w:val="24"/>
          <w:szCs w:val="24"/>
          <w:u w:val="single"/>
        </w:rPr>
        <w:t>Effect of Stray Capacitance (SC) on Voltage Distribution</w:t>
      </w:r>
    </w:p>
    <w:p w:rsidR="00C240CD" w:rsidRDefault="00C240CD"/>
    <w:p w:rsidR="003B2505" w:rsidRDefault="009051B1" w:rsidP="007131D9">
      <w:pPr>
        <w:jc w:val="both"/>
        <w:rPr>
          <w:rFonts w:ascii="Times New Roman" w:hAnsi="Times New Roman"/>
          <w:sz w:val="24"/>
          <w:szCs w:val="24"/>
        </w:rPr>
      </w:pPr>
      <w:r>
        <w:rPr>
          <w:rFonts w:ascii="Times New Roman" w:hAnsi="Times New Roman" w:cs="Times New Roman"/>
          <w:bCs/>
          <w:sz w:val="24"/>
          <w:szCs w:val="24"/>
        </w:rPr>
        <w:t>There is a non-uniformity of voltage distribution when rating of MOSAs are increased.</w:t>
      </w:r>
      <w:r w:rsidR="00C240CD">
        <w:rPr>
          <w:rFonts w:ascii="Times New Roman" w:hAnsi="Times New Roman" w:cs="Times New Roman"/>
          <w:bCs/>
          <w:sz w:val="24"/>
          <w:szCs w:val="24"/>
        </w:rPr>
        <w:t xml:space="preserve">  </w:t>
      </w:r>
      <w:r w:rsidR="002D28C5">
        <w:rPr>
          <w:rFonts w:ascii="Times New Roman" w:hAnsi="Times New Roman" w:cs="Times New Roman"/>
          <w:bCs/>
          <w:sz w:val="24"/>
          <w:szCs w:val="24"/>
        </w:rPr>
        <w:t>The major problem of non-uniform voltage distribution</w:t>
      </w:r>
      <w:r>
        <w:rPr>
          <w:rFonts w:ascii="Times New Roman" w:hAnsi="Times New Roman" w:cs="Times New Roman"/>
          <w:bCs/>
          <w:sz w:val="24"/>
          <w:szCs w:val="24"/>
        </w:rPr>
        <w:t xml:space="preserve"> is presence of stray capacitance.  This stray capacitance increases with height as well as rating of arrester. </w:t>
      </w:r>
      <w:r w:rsidRPr="00C240CD">
        <w:rPr>
          <w:rFonts w:ascii="Times New Roman" w:hAnsi="Times New Roman" w:cs="Times New Roman"/>
          <w:bCs/>
          <w:sz w:val="24"/>
          <w:szCs w:val="24"/>
        </w:rPr>
        <w:t xml:space="preserve">For </w:t>
      </w:r>
      <w:r>
        <w:rPr>
          <w:rFonts w:ascii="Times New Roman" w:hAnsi="Times New Roman" w:cs="Times New Roman"/>
          <w:bCs/>
          <w:sz w:val="24"/>
          <w:szCs w:val="24"/>
        </w:rPr>
        <w:t>this study, six MOSAs (66kV, 132 kV, 198 kV, 264 kV, 330 kV and 396kV</w:t>
      </w:r>
      <w:r w:rsidR="00C8197D">
        <w:rPr>
          <w:rFonts w:ascii="Times New Roman" w:hAnsi="Times New Roman" w:cs="Times New Roman"/>
          <w:bCs/>
          <w:sz w:val="24"/>
          <w:szCs w:val="24"/>
        </w:rPr>
        <w:t>)</w:t>
      </w:r>
      <w:r>
        <w:rPr>
          <w:rFonts w:ascii="Times New Roman" w:hAnsi="Times New Roman" w:cs="Times New Roman"/>
          <w:bCs/>
          <w:sz w:val="24"/>
          <w:szCs w:val="24"/>
        </w:rPr>
        <w:t xml:space="preserve"> are considered. </w:t>
      </w:r>
      <w:r w:rsidR="00C240CD">
        <w:rPr>
          <w:rFonts w:ascii="Times New Roman" w:hAnsi="Times New Roman" w:cs="Times New Roman"/>
          <w:bCs/>
          <w:sz w:val="24"/>
          <w:szCs w:val="24"/>
        </w:rPr>
        <w:t>The voltage rating of single stack arrester is 66 kV.  The dimension of 66 kV</w:t>
      </w:r>
      <w:r w:rsidR="007131D9">
        <w:rPr>
          <w:rFonts w:ascii="Times New Roman" w:hAnsi="Times New Roman" w:cs="Times New Roman"/>
          <w:bCs/>
          <w:sz w:val="24"/>
          <w:szCs w:val="24"/>
        </w:rPr>
        <w:t xml:space="preserve"> is presented in Fig. 1. Initially, a single stack </w:t>
      </w:r>
      <w:r w:rsidR="007131D9">
        <w:rPr>
          <w:rFonts w:ascii="Times New Roman" w:hAnsi="Times New Roman"/>
          <w:sz w:val="24"/>
          <w:szCs w:val="24"/>
        </w:rPr>
        <w:t>arrester is drawn based on given dimension</w:t>
      </w:r>
      <w:r w:rsidR="00C8197D">
        <w:rPr>
          <w:rFonts w:ascii="Times New Roman" w:hAnsi="Times New Roman"/>
          <w:sz w:val="24"/>
          <w:szCs w:val="24"/>
        </w:rPr>
        <w:t xml:space="preserve"> in finite element software package</w:t>
      </w:r>
      <w:r w:rsidR="007131D9">
        <w:rPr>
          <w:rFonts w:ascii="Times New Roman" w:hAnsi="Times New Roman"/>
          <w:sz w:val="24"/>
          <w:szCs w:val="24"/>
        </w:rPr>
        <w:t xml:space="preserve">. </w:t>
      </w:r>
      <w:r w:rsidR="00C8197D">
        <w:rPr>
          <w:rFonts w:ascii="Times New Roman" w:hAnsi="Times New Roman"/>
          <w:sz w:val="24"/>
          <w:szCs w:val="24"/>
        </w:rPr>
        <w:t xml:space="preserve">The various </w:t>
      </w:r>
      <w:r w:rsidR="007131D9">
        <w:rPr>
          <w:rFonts w:ascii="Times New Roman" w:hAnsi="Times New Roman"/>
          <w:sz w:val="24"/>
          <w:szCs w:val="24"/>
        </w:rPr>
        <w:t>materials are assigned</w:t>
      </w:r>
      <w:r w:rsidR="00C8197D">
        <w:rPr>
          <w:rFonts w:ascii="Times New Roman" w:hAnsi="Times New Roman"/>
          <w:sz w:val="24"/>
          <w:szCs w:val="24"/>
        </w:rPr>
        <w:t xml:space="preserve"> using finite element method</w:t>
      </w:r>
      <w:r w:rsidR="007131D9">
        <w:rPr>
          <w:rFonts w:ascii="Times New Roman" w:hAnsi="Times New Roman"/>
          <w:sz w:val="24"/>
          <w:szCs w:val="24"/>
        </w:rPr>
        <w:t>.  After</w:t>
      </w:r>
      <w:r w:rsidR="00C8197D">
        <w:rPr>
          <w:rFonts w:ascii="Times New Roman" w:hAnsi="Times New Roman"/>
          <w:sz w:val="24"/>
          <w:szCs w:val="24"/>
        </w:rPr>
        <w:t xml:space="preserve"> this</w:t>
      </w:r>
      <w:r w:rsidR="007131D9">
        <w:rPr>
          <w:rFonts w:ascii="Times New Roman" w:hAnsi="Times New Roman"/>
          <w:sz w:val="24"/>
          <w:szCs w:val="24"/>
        </w:rPr>
        <w:t>, execut</w:t>
      </w:r>
      <w:r w:rsidR="00C8197D">
        <w:rPr>
          <w:rFonts w:ascii="Times New Roman" w:hAnsi="Times New Roman"/>
          <w:sz w:val="24"/>
          <w:szCs w:val="24"/>
        </w:rPr>
        <w:t>ion is performed</w:t>
      </w:r>
      <w:r w:rsidR="007131D9">
        <w:rPr>
          <w:rFonts w:ascii="Times New Roman" w:hAnsi="Times New Roman"/>
          <w:sz w:val="24"/>
          <w:szCs w:val="24"/>
        </w:rPr>
        <w:t xml:space="preserve"> in finite element method and </w:t>
      </w:r>
      <w:r w:rsidR="00FC2827">
        <w:rPr>
          <w:rFonts w:ascii="Times New Roman" w:hAnsi="Times New Roman"/>
          <w:sz w:val="24"/>
          <w:szCs w:val="24"/>
        </w:rPr>
        <w:t xml:space="preserve">stray capacitance </w:t>
      </w:r>
      <w:r w:rsidR="007131D9">
        <w:rPr>
          <w:rFonts w:ascii="Times New Roman" w:hAnsi="Times New Roman"/>
          <w:sz w:val="24"/>
          <w:szCs w:val="24"/>
        </w:rPr>
        <w:t>result</w:t>
      </w:r>
      <w:r w:rsidR="00FC2827">
        <w:rPr>
          <w:rFonts w:ascii="Times New Roman" w:hAnsi="Times New Roman"/>
          <w:sz w:val="24"/>
          <w:szCs w:val="24"/>
        </w:rPr>
        <w:t xml:space="preserve"> is</w:t>
      </w:r>
      <w:r w:rsidR="007131D9">
        <w:rPr>
          <w:rFonts w:ascii="Times New Roman" w:hAnsi="Times New Roman"/>
          <w:sz w:val="24"/>
          <w:szCs w:val="24"/>
        </w:rPr>
        <w:t xml:space="preserve"> </w:t>
      </w:r>
      <w:r w:rsidR="00FC2827">
        <w:rPr>
          <w:rFonts w:ascii="Times New Roman" w:hAnsi="Times New Roman"/>
          <w:sz w:val="24"/>
          <w:szCs w:val="24"/>
        </w:rPr>
        <w:t>computed.</w:t>
      </w:r>
    </w:p>
    <w:p w:rsidR="000C08D8" w:rsidRDefault="000C08D8" w:rsidP="007131D9">
      <w:pPr>
        <w:jc w:val="both"/>
        <w:rPr>
          <w:rFonts w:ascii="Times New Roman" w:hAnsi="Times New Roman"/>
          <w:sz w:val="24"/>
          <w:szCs w:val="24"/>
        </w:rPr>
      </w:pPr>
    </w:p>
    <w:p w:rsidR="00C240CD" w:rsidRDefault="003B2505" w:rsidP="007131D9">
      <w:pPr>
        <w:jc w:val="both"/>
        <w:rPr>
          <w:rFonts w:ascii="Times New Roman" w:hAnsi="Times New Roman"/>
          <w:sz w:val="24"/>
          <w:szCs w:val="24"/>
        </w:rPr>
      </w:pPr>
      <w:r>
        <w:rPr>
          <w:rFonts w:ascii="Times New Roman" w:hAnsi="Times New Roman"/>
          <w:sz w:val="24"/>
          <w:szCs w:val="24"/>
        </w:rPr>
        <w:tab/>
        <w:t>The same procedure is repeated for two to six stack MOSAs and stray capacitance va</w:t>
      </w:r>
      <w:r w:rsidR="001A6CBF">
        <w:rPr>
          <w:rFonts w:ascii="Times New Roman" w:hAnsi="Times New Roman"/>
          <w:sz w:val="24"/>
          <w:szCs w:val="24"/>
        </w:rPr>
        <w:t>lues are tabulated as in Table 2</w:t>
      </w:r>
      <w:r>
        <w:rPr>
          <w:rFonts w:ascii="Times New Roman" w:hAnsi="Times New Roman"/>
          <w:sz w:val="24"/>
          <w:szCs w:val="24"/>
        </w:rPr>
        <w:t>.</w:t>
      </w:r>
      <w:r w:rsidR="007131D9">
        <w:rPr>
          <w:rFonts w:ascii="Times New Roman" w:hAnsi="Times New Roman"/>
          <w:sz w:val="24"/>
          <w:szCs w:val="24"/>
        </w:rPr>
        <w:t xml:space="preserve">  </w:t>
      </w:r>
    </w:p>
    <w:p w:rsidR="000C08D8" w:rsidRPr="00C240CD" w:rsidRDefault="000C08D8" w:rsidP="007131D9">
      <w:pPr>
        <w:jc w:val="both"/>
        <w:rPr>
          <w:rFonts w:ascii="Times New Roman" w:hAnsi="Times New Roman" w:cs="Times New Roman"/>
          <w:bCs/>
          <w:sz w:val="24"/>
          <w:szCs w:val="24"/>
        </w:rPr>
      </w:pPr>
    </w:p>
    <w:p w:rsidR="002B2AAD" w:rsidRPr="002B2AAD" w:rsidRDefault="002B2AAD" w:rsidP="002B2AAD">
      <w:pPr>
        <w:pStyle w:val="Heading2"/>
        <w:numPr>
          <w:ilvl w:val="0"/>
          <w:numId w:val="0"/>
        </w:numPr>
        <w:jc w:val="both"/>
        <w:rPr>
          <w:sz w:val="24"/>
          <w:szCs w:val="24"/>
          <w:u w:val="single"/>
          <w:lang w:val="en-IN"/>
        </w:rPr>
      </w:pPr>
      <w:r w:rsidRPr="002B2AAD">
        <w:rPr>
          <w:i w:val="0"/>
          <w:sz w:val="24"/>
          <w:szCs w:val="24"/>
          <w:u w:val="single"/>
          <w:lang w:val="en-IN"/>
        </w:rPr>
        <w:t xml:space="preserve">Fig. 1 Arrester blocks and </w:t>
      </w:r>
      <w:r w:rsidRPr="002B2AAD">
        <w:rPr>
          <w:i w:val="0"/>
          <w:sz w:val="24"/>
          <w:szCs w:val="24"/>
          <w:u w:val="single"/>
        </w:rPr>
        <w:t>Dimensional details of single stack arrester (mm)</w:t>
      </w:r>
    </w:p>
    <w:p w:rsidR="00C240CD" w:rsidRDefault="00C240CD"/>
    <w:p w:rsidR="00546365" w:rsidRDefault="00546365">
      <w:r>
        <w:rPr>
          <w:noProof/>
          <w:lang w:eastAsia="en-IN"/>
        </w:rPr>
        <w:drawing>
          <wp:anchor distT="0" distB="0" distL="114300" distR="114300" simplePos="0" relativeHeight="251659264" behindDoc="1" locked="0" layoutInCell="1" allowOverlap="1" wp14:anchorId="1BBA1661" wp14:editId="4CF95550">
            <wp:simplePos x="0" y="0"/>
            <wp:positionH relativeFrom="column">
              <wp:posOffset>296973</wp:posOffset>
            </wp:positionH>
            <wp:positionV relativeFrom="paragraph">
              <wp:posOffset>-39035</wp:posOffset>
            </wp:positionV>
            <wp:extent cx="1786739" cy="1317009"/>
            <wp:effectExtent l="19050" t="0" r="3961"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786739" cy="1317009"/>
                    </a:xfrm>
                    <a:prstGeom prst="rect">
                      <a:avLst/>
                    </a:prstGeom>
                    <a:noFill/>
                    <a:ln w="9525">
                      <a:noFill/>
                      <a:miter lim="800000"/>
                      <a:headEnd/>
                      <a:tailEnd/>
                    </a:ln>
                  </pic:spPr>
                </pic:pic>
              </a:graphicData>
            </a:graphic>
          </wp:anchor>
        </w:drawing>
      </w:r>
    </w:p>
    <w:p w:rsidR="002206E3" w:rsidRDefault="002206E3"/>
    <w:p w:rsidR="00546365" w:rsidRDefault="00546365"/>
    <w:p w:rsidR="00546365" w:rsidRDefault="00546365"/>
    <w:p w:rsidR="00546365" w:rsidRDefault="00546365"/>
    <w:p w:rsidR="002B2AAD" w:rsidRDefault="002B2AAD"/>
    <w:p w:rsidR="002B2AAD" w:rsidRDefault="002B2AAD">
      <w:pPr>
        <w:rPr>
          <w:rFonts w:ascii="Times New Roman" w:hAnsi="Times New Roman"/>
          <w:sz w:val="24"/>
          <w:szCs w:val="24"/>
        </w:rPr>
      </w:pPr>
      <w:r>
        <w:rPr>
          <w:rFonts w:ascii="Times New Roman" w:hAnsi="Times New Roman"/>
          <w:sz w:val="24"/>
          <w:szCs w:val="24"/>
        </w:rPr>
        <w:t>The same procedure is repeated for two to six stack MOSAs and stray capacitance va</w:t>
      </w:r>
      <w:r w:rsidR="00225DDC">
        <w:rPr>
          <w:rFonts w:ascii="Times New Roman" w:hAnsi="Times New Roman"/>
          <w:sz w:val="24"/>
          <w:szCs w:val="24"/>
        </w:rPr>
        <w:t>lues are tabulated as in Table 2</w:t>
      </w:r>
      <w:r>
        <w:rPr>
          <w:rFonts w:ascii="Times New Roman" w:hAnsi="Times New Roman"/>
          <w:sz w:val="24"/>
          <w:szCs w:val="24"/>
        </w:rPr>
        <w:t xml:space="preserve">.  </w:t>
      </w:r>
    </w:p>
    <w:p w:rsidR="00225DDC" w:rsidRDefault="00225DDC"/>
    <w:p w:rsidR="003B2505" w:rsidRDefault="00225DDC" w:rsidP="00225DDC">
      <w:pPr>
        <w:jc w:val="both"/>
      </w:pPr>
      <w:r w:rsidRPr="00225DDC">
        <w:rPr>
          <w:rFonts w:ascii="Times New Roman" w:hAnsi="Times New Roman" w:cs="Times New Roman"/>
          <w:color w:val="000000" w:themeColor="text1"/>
          <w:sz w:val="24"/>
          <w:szCs w:val="24"/>
        </w:rPr>
        <w:t>Table 2</w:t>
      </w:r>
      <w:r>
        <w:rPr>
          <w:rFonts w:ascii="Times New Roman" w:hAnsi="Times New Roman" w:cs="Times New Roman"/>
          <w:color w:val="000000" w:themeColor="text1"/>
          <w:sz w:val="24"/>
          <w:szCs w:val="24"/>
        </w:rPr>
        <w:t xml:space="preserve"> </w:t>
      </w:r>
      <w:r w:rsidRPr="00225DDC">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tray </w:t>
      </w:r>
      <w:r w:rsidRPr="00225DDC">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apacitance </w:t>
      </w:r>
      <w:r w:rsidRPr="00225DDC">
        <w:rPr>
          <w:rFonts w:ascii="Times New Roman" w:hAnsi="Times New Roman" w:cs="Times New Roman"/>
          <w:color w:val="000000" w:themeColor="text1"/>
          <w:sz w:val="24"/>
          <w:szCs w:val="24"/>
        </w:rPr>
        <w:t>- different heights</w:t>
      </w:r>
    </w:p>
    <w:tbl>
      <w:tblPr>
        <w:tblW w:w="3159" w:type="dxa"/>
        <w:tblLook w:val="04A0" w:firstRow="1" w:lastRow="0" w:firstColumn="1" w:lastColumn="0" w:noHBand="0" w:noVBand="1"/>
      </w:tblPr>
      <w:tblGrid>
        <w:gridCol w:w="1053"/>
        <w:gridCol w:w="1053"/>
        <w:gridCol w:w="1053"/>
      </w:tblGrid>
      <w:tr w:rsidR="006E56BA" w:rsidRPr="00A43A0D" w:rsidTr="006E56BA">
        <w:trPr>
          <w:trHeight w:val="501"/>
        </w:trPr>
        <w:tc>
          <w:tcPr>
            <w:tcW w:w="1053" w:type="dxa"/>
            <w:tcBorders>
              <w:top w:val="double" w:sz="6" w:space="0" w:color="auto"/>
              <w:left w:val="nil"/>
              <w:bottom w:val="single" w:sz="4" w:space="0" w:color="auto"/>
              <w:right w:val="nil"/>
            </w:tcBorders>
            <w:shd w:val="clear" w:color="auto" w:fill="auto"/>
            <w:vAlign w:val="center"/>
            <w:hideMark/>
          </w:tcPr>
          <w:p w:rsidR="006E56BA" w:rsidRPr="00A43A0D" w:rsidRDefault="006E56BA"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kV</w:t>
            </w:r>
          </w:p>
        </w:tc>
        <w:tc>
          <w:tcPr>
            <w:tcW w:w="1053" w:type="dxa"/>
            <w:tcBorders>
              <w:top w:val="double" w:sz="6" w:space="0" w:color="auto"/>
              <w:left w:val="nil"/>
              <w:bottom w:val="single" w:sz="4" w:space="0" w:color="auto"/>
              <w:right w:val="nil"/>
            </w:tcBorders>
            <w:shd w:val="clear" w:color="auto" w:fill="auto"/>
            <w:vAlign w:val="center"/>
            <w:hideMark/>
          </w:tcPr>
          <w:p w:rsidR="006E56BA" w:rsidRPr="00A43A0D" w:rsidRDefault="006E56BA" w:rsidP="00E72060">
            <w:pPr>
              <w:spacing w:after="0" w:line="240" w:lineRule="auto"/>
              <w:jc w:val="center"/>
              <w:rPr>
                <w:rFonts w:ascii="Times New Roman" w:eastAsia="Times New Roman" w:hAnsi="Times New Roman" w:cs="Times New Roman"/>
                <w:color w:val="000000"/>
                <w:sz w:val="16"/>
                <w:szCs w:val="16"/>
                <w:lang w:eastAsia="en-IN"/>
              </w:rPr>
            </w:pPr>
            <w:proofErr w:type="spellStart"/>
            <w:r w:rsidRPr="00A43A0D">
              <w:rPr>
                <w:rFonts w:ascii="Times New Roman" w:eastAsia="Times New Roman" w:hAnsi="Times New Roman" w:cs="Times New Roman"/>
                <w:color w:val="000000"/>
                <w:sz w:val="16"/>
                <w:szCs w:val="16"/>
                <w:lang w:val="en-US" w:eastAsia="en-IN"/>
              </w:rPr>
              <w:t>Ht</w:t>
            </w:r>
            <w:proofErr w:type="spellEnd"/>
          </w:p>
          <w:p w:rsidR="006E56BA" w:rsidRPr="00A43A0D" w:rsidRDefault="006E56BA"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(mm)</w:t>
            </w:r>
          </w:p>
        </w:tc>
        <w:tc>
          <w:tcPr>
            <w:tcW w:w="1053" w:type="dxa"/>
            <w:tcBorders>
              <w:top w:val="double" w:sz="6" w:space="0" w:color="auto"/>
              <w:left w:val="nil"/>
              <w:bottom w:val="single" w:sz="4" w:space="0" w:color="auto"/>
              <w:right w:val="nil"/>
            </w:tcBorders>
            <w:shd w:val="clear" w:color="auto" w:fill="auto"/>
            <w:vAlign w:val="center"/>
            <w:hideMark/>
          </w:tcPr>
          <w:p w:rsidR="006E56BA" w:rsidRPr="00A43A0D" w:rsidRDefault="006E56BA"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SC</w:t>
            </w:r>
          </w:p>
          <w:p w:rsidR="006E56BA" w:rsidRPr="00A43A0D" w:rsidRDefault="006E56BA" w:rsidP="006E56BA">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(pF)</w:t>
            </w:r>
          </w:p>
        </w:tc>
      </w:tr>
      <w:tr w:rsidR="00546365" w:rsidRPr="00A43A0D" w:rsidTr="006E56BA">
        <w:trPr>
          <w:trHeight w:val="225"/>
        </w:trPr>
        <w:tc>
          <w:tcPr>
            <w:tcW w:w="1053" w:type="dxa"/>
            <w:tcBorders>
              <w:top w:val="single" w:sz="4" w:space="0" w:color="auto"/>
              <w:left w:val="nil"/>
              <w:bottom w:val="nil"/>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66</w:t>
            </w:r>
          </w:p>
        </w:tc>
        <w:tc>
          <w:tcPr>
            <w:tcW w:w="1053" w:type="dxa"/>
            <w:tcBorders>
              <w:top w:val="single" w:sz="4" w:space="0" w:color="auto"/>
              <w:left w:val="nil"/>
              <w:bottom w:val="nil"/>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2116</w:t>
            </w:r>
          </w:p>
        </w:tc>
        <w:tc>
          <w:tcPr>
            <w:tcW w:w="1053" w:type="dxa"/>
            <w:tcBorders>
              <w:top w:val="single" w:sz="4" w:space="0" w:color="auto"/>
              <w:left w:val="nil"/>
              <w:bottom w:val="nil"/>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2.1</w:t>
            </w:r>
          </w:p>
        </w:tc>
      </w:tr>
      <w:tr w:rsidR="00546365" w:rsidRPr="00A43A0D" w:rsidTr="006E56BA">
        <w:trPr>
          <w:trHeight w:val="225"/>
        </w:trPr>
        <w:tc>
          <w:tcPr>
            <w:tcW w:w="1053" w:type="dxa"/>
            <w:tcBorders>
              <w:top w:val="nil"/>
              <w:left w:val="nil"/>
              <w:bottom w:val="nil"/>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132</w:t>
            </w:r>
          </w:p>
        </w:tc>
        <w:tc>
          <w:tcPr>
            <w:tcW w:w="1053" w:type="dxa"/>
            <w:tcBorders>
              <w:top w:val="nil"/>
              <w:left w:val="nil"/>
              <w:bottom w:val="nil"/>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2732</w:t>
            </w:r>
          </w:p>
        </w:tc>
        <w:tc>
          <w:tcPr>
            <w:tcW w:w="1053" w:type="dxa"/>
            <w:tcBorders>
              <w:top w:val="nil"/>
              <w:left w:val="nil"/>
              <w:bottom w:val="nil"/>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4.58</w:t>
            </w:r>
          </w:p>
        </w:tc>
      </w:tr>
      <w:tr w:rsidR="00546365" w:rsidRPr="00A43A0D" w:rsidTr="006E56BA">
        <w:trPr>
          <w:trHeight w:val="150"/>
        </w:trPr>
        <w:tc>
          <w:tcPr>
            <w:tcW w:w="1053" w:type="dxa"/>
            <w:tcBorders>
              <w:top w:val="nil"/>
              <w:left w:val="nil"/>
              <w:bottom w:val="nil"/>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198</w:t>
            </w:r>
          </w:p>
        </w:tc>
        <w:tc>
          <w:tcPr>
            <w:tcW w:w="1053" w:type="dxa"/>
            <w:tcBorders>
              <w:top w:val="nil"/>
              <w:left w:val="nil"/>
              <w:bottom w:val="nil"/>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3348</w:t>
            </w:r>
          </w:p>
        </w:tc>
        <w:tc>
          <w:tcPr>
            <w:tcW w:w="1053" w:type="dxa"/>
            <w:tcBorders>
              <w:top w:val="nil"/>
              <w:left w:val="nil"/>
              <w:bottom w:val="nil"/>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6.78</w:t>
            </w:r>
          </w:p>
        </w:tc>
      </w:tr>
      <w:tr w:rsidR="00546365" w:rsidRPr="00A43A0D" w:rsidTr="006E56BA">
        <w:trPr>
          <w:trHeight w:val="225"/>
        </w:trPr>
        <w:tc>
          <w:tcPr>
            <w:tcW w:w="1053" w:type="dxa"/>
            <w:tcBorders>
              <w:top w:val="nil"/>
              <w:left w:val="nil"/>
              <w:bottom w:val="nil"/>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264</w:t>
            </w:r>
          </w:p>
        </w:tc>
        <w:tc>
          <w:tcPr>
            <w:tcW w:w="1053" w:type="dxa"/>
            <w:tcBorders>
              <w:top w:val="nil"/>
              <w:left w:val="nil"/>
              <w:bottom w:val="nil"/>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3964</w:t>
            </w:r>
          </w:p>
        </w:tc>
        <w:tc>
          <w:tcPr>
            <w:tcW w:w="1053" w:type="dxa"/>
            <w:tcBorders>
              <w:top w:val="nil"/>
              <w:left w:val="nil"/>
              <w:bottom w:val="nil"/>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8.86</w:t>
            </w:r>
          </w:p>
        </w:tc>
      </w:tr>
      <w:tr w:rsidR="00546365" w:rsidRPr="00A43A0D" w:rsidTr="006E56BA">
        <w:trPr>
          <w:trHeight w:val="150"/>
        </w:trPr>
        <w:tc>
          <w:tcPr>
            <w:tcW w:w="1053" w:type="dxa"/>
            <w:tcBorders>
              <w:top w:val="nil"/>
              <w:left w:val="nil"/>
              <w:bottom w:val="nil"/>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330</w:t>
            </w:r>
          </w:p>
        </w:tc>
        <w:tc>
          <w:tcPr>
            <w:tcW w:w="1053" w:type="dxa"/>
            <w:tcBorders>
              <w:top w:val="nil"/>
              <w:left w:val="nil"/>
              <w:bottom w:val="nil"/>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4580</w:t>
            </w:r>
          </w:p>
        </w:tc>
        <w:tc>
          <w:tcPr>
            <w:tcW w:w="1053" w:type="dxa"/>
            <w:tcBorders>
              <w:top w:val="nil"/>
              <w:left w:val="nil"/>
              <w:bottom w:val="nil"/>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10.78</w:t>
            </w:r>
          </w:p>
        </w:tc>
        <w:bookmarkStart w:id="0" w:name="_GoBack"/>
        <w:bookmarkEnd w:id="0"/>
      </w:tr>
      <w:tr w:rsidR="00546365" w:rsidRPr="00A43A0D" w:rsidTr="006E56BA">
        <w:trPr>
          <w:trHeight w:val="230"/>
        </w:trPr>
        <w:tc>
          <w:tcPr>
            <w:tcW w:w="1053" w:type="dxa"/>
            <w:tcBorders>
              <w:top w:val="nil"/>
              <w:left w:val="nil"/>
              <w:bottom w:val="double" w:sz="6" w:space="0" w:color="auto"/>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396</w:t>
            </w:r>
          </w:p>
        </w:tc>
        <w:tc>
          <w:tcPr>
            <w:tcW w:w="1053" w:type="dxa"/>
            <w:tcBorders>
              <w:top w:val="nil"/>
              <w:left w:val="nil"/>
              <w:bottom w:val="double" w:sz="6" w:space="0" w:color="auto"/>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5196</w:t>
            </w:r>
          </w:p>
        </w:tc>
        <w:tc>
          <w:tcPr>
            <w:tcW w:w="1053" w:type="dxa"/>
            <w:tcBorders>
              <w:top w:val="nil"/>
              <w:left w:val="nil"/>
              <w:bottom w:val="double" w:sz="6" w:space="0" w:color="auto"/>
              <w:right w:val="nil"/>
            </w:tcBorders>
            <w:shd w:val="clear" w:color="auto" w:fill="auto"/>
            <w:vAlign w:val="center"/>
            <w:hideMark/>
          </w:tcPr>
          <w:p w:rsidR="00546365" w:rsidRPr="00A43A0D" w:rsidRDefault="00546365" w:rsidP="00E72060">
            <w:pPr>
              <w:spacing w:after="0" w:line="240" w:lineRule="auto"/>
              <w:jc w:val="center"/>
              <w:rPr>
                <w:rFonts w:ascii="Times New Roman" w:eastAsia="Times New Roman" w:hAnsi="Times New Roman" w:cs="Times New Roman"/>
                <w:color w:val="000000"/>
                <w:sz w:val="16"/>
                <w:szCs w:val="16"/>
                <w:lang w:eastAsia="en-IN"/>
              </w:rPr>
            </w:pPr>
            <w:r w:rsidRPr="00A43A0D">
              <w:rPr>
                <w:rFonts w:ascii="Times New Roman" w:eastAsia="Times New Roman" w:hAnsi="Times New Roman" w:cs="Times New Roman"/>
                <w:color w:val="000000"/>
                <w:sz w:val="16"/>
                <w:szCs w:val="16"/>
                <w:lang w:val="en-US" w:eastAsia="en-IN"/>
              </w:rPr>
              <w:t>14.61</w:t>
            </w:r>
          </w:p>
        </w:tc>
      </w:tr>
    </w:tbl>
    <w:p w:rsidR="00546365" w:rsidRDefault="00546365"/>
    <w:p w:rsidR="002B2AAD" w:rsidRPr="00B65EC2" w:rsidRDefault="002B2AAD" w:rsidP="002B2AAD">
      <w:pPr>
        <w:rPr>
          <w:rFonts w:ascii="Times New Roman" w:hAnsi="Times New Roman" w:cs="Times New Roman"/>
          <w:bCs/>
          <w:sz w:val="24"/>
          <w:szCs w:val="24"/>
          <w:u w:val="single"/>
        </w:rPr>
      </w:pPr>
      <w:r w:rsidRPr="00B65EC2">
        <w:rPr>
          <w:rFonts w:ascii="Times New Roman" w:hAnsi="Times New Roman" w:cs="Times New Roman"/>
          <w:bCs/>
          <w:sz w:val="24"/>
          <w:szCs w:val="24"/>
          <w:u w:val="single"/>
        </w:rPr>
        <w:lastRenderedPageBreak/>
        <w:t>Fig. 2 V</w:t>
      </w:r>
      <w:r>
        <w:rPr>
          <w:rFonts w:ascii="Times New Roman" w:hAnsi="Times New Roman" w:cs="Times New Roman"/>
          <w:bCs/>
          <w:sz w:val="24"/>
          <w:szCs w:val="24"/>
          <w:u w:val="single"/>
        </w:rPr>
        <w:t xml:space="preserve">oltage </w:t>
      </w:r>
      <w:r w:rsidRPr="00B65EC2">
        <w:rPr>
          <w:rFonts w:ascii="Times New Roman" w:hAnsi="Times New Roman" w:cs="Times New Roman"/>
          <w:bCs/>
          <w:sz w:val="24"/>
          <w:szCs w:val="24"/>
          <w:u w:val="single"/>
        </w:rPr>
        <w:t>D</w:t>
      </w:r>
      <w:r>
        <w:rPr>
          <w:rFonts w:ascii="Times New Roman" w:hAnsi="Times New Roman" w:cs="Times New Roman"/>
          <w:bCs/>
          <w:sz w:val="24"/>
          <w:szCs w:val="24"/>
          <w:u w:val="single"/>
        </w:rPr>
        <w:t>istribution</w:t>
      </w:r>
      <w:r w:rsidRPr="00B65EC2">
        <w:rPr>
          <w:rFonts w:ascii="Times New Roman" w:hAnsi="Times New Roman" w:cs="Times New Roman"/>
          <w:bCs/>
          <w:sz w:val="24"/>
          <w:szCs w:val="24"/>
          <w:u w:val="single"/>
        </w:rPr>
        <w:t xml:space="preserve"> -Various heights (S: no. of stacks)</w:t>
      </w:r>
    </w:p>
    <w:p w:rsidR="002B2AAD" w:rsidRDefault="002B2AAD" w:rsidP="00027178">
      <w:pPr>
        <w:ind w:firstLine="720"/>
        <w:jc w:val="both"/>
      </w:pPr>
      <w:r>
        <w:t xml:space="preserve">Similarly, </w:t>
      </w:r>
      <w:r>
        <w:rPr>
          <w:rFonts w:ascii="Times New Roman" w:hAnsi="Times New Roman"/>
          <w:sz w:val="24"/>
          <w:szCs w:val="24"/>
        </w:rPr>
        <w:t xml:space="preserve">using above procedure using finite element method, voltage distribution values are plotted for </w:t>
      </w:r>
      <w:r>
        <w:rPr>
          <w:rFonts w:ascii="Times New Roman" w:hAnsi="Times New Roman" w:cs="Times New Roman"/>
          <w:sz w:val="24"/>
          <w:szCs w:val="24"/>
        </w:rPr>
        <w:t>single stack, three stacks and six stacks MOSAs. The graphs are drawn between percentage height of arrester and per unit voltage. This shows as the height of arrester is increased, there is more non-uniformity in voltage distribution</w:t>
      </w:r>
      <w:r w:rsidR="000C08D8">
        <w:rPr>
          <w:rFonts w:ascii="Times New Roman" w:hAnsi="Times New Roman" w:cs="Times New Roman"/>
          <w:sz w:val="24"/>
          <w:szCs w:val="24"/>
        </w:rPr>
        <w:t xml:space="preserve"> (Fig. 2)</w:t>
      </w:r>
      <w:r>
        <w:rPr>
          <w:rFonts w:ascii="Times New Roman" w:hAnsi="Times New Roman" w:cs="Times New Roman"/>
          <w:sz w:val="24"/>
          <w:szCs w:val="24"/>
        </w:rPr>
        <w:t>.</w:t>
      </w:r>
    </w:p>
    <w:p w:rsidR="00546365" w:rsidRDefault="00546365"/>
    <w:p w:rsidR="00546365" w:rsidRDefault="00546365">
      <w:r>
        <w:rPr>
          <w:rFonts w:cs="Calibri"/>
          <w:noProof/>
          <w:color w:val="000000" w:themeColor="text1"/>
          <w:sz w:val="16"/>
          <w:szCs w:val="16"/>
          <w:lang w:eastAsia="en-IN"/>
        </w:rPr>
        <w:drawing>
          <wp:anchor distT="0" distB="0" distL="114300" distR="114300" simplePos="0" relativeHeight="251661312" behindDoc="1" locked="0" layoutInCell="1" allowOverlap="1" wp14:anchorId="1667656E" wp14:editId="17AAF39F">
            <wp:simplePos x="0" y="0"/>
            <wp:positionH relativeFrom="column">
              <wp:posOffset>196343</wp:posOffset>
            </wp:positionH>
            <wp:positionV relativeFrom="paragraph">
              <wp:posOffset>223757</wp:posOffset>
            </wp:positionV>
            <wp:extent cx="2006600" cy="1772285"/>
            <wp:effectExtent l="0" t="0" r="0" b="0"/>
            <wp:wrapNone/>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2006600" cy="1772285"/>
                    </a:xfrm>
                    <a:prstGeom prst="rect">
                      <a:avLst/>
                    </a:prstGeom>
                    <a:noFill/>
                    <a:ln w="9525">
                      <a:noFill/>
                      <a:miter lim="800000"/>
                      <a:headEnd/>
                      <a:tailEnd/>
                    </a:ln>
                  </pic:spPr>
                </pic:pic>
              </a:graphicData>
            </a:graphic>
            <wp14:sizeRelH relativeFrom="margin">
              <wp14:pctWidth>0</wp14:pctWidth>
            </wp14:sizeRelH>
          </wp:anchor>
        </w:drawing>
      </w:r>
    </w:p>
    <w:sectPr w:rsidR="00546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AE8A2D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val="0"/>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65"/>
    <w:rsid w:val="00027178"/>
    <w:rsid w:val="000C08D8"/>
    <w:rsid w:val="001A6CBF"/>
    <w:rsid w:val="002206E3"/>
    <w:rsid w:val="00225DDC"/>
    <w:rsid w:val="002B2AAD"/>
    <w:rsid w:val="002D28C5"/>
    <w:rsid w:val="003B2505"/>
    <w:rsid w:val="00546365"/>
    <w:rsid w:val="006E56BA"/>
    <w:rsid w:val="007131D9"/>
    <w:rsid w:val="007E5F2B"/>
    <w:rsid w:val="009051B1"/>
    <w:rsid w:val="00C240CD"/>
    <w:rsid w:val="00C8197D"/>
    <w:rsid w:val="00FC2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4C7E"/>
  <w15:chartTrackingRefBased/>
  <w15:docId w15:val="{CA19B419-D0E8-4BCE-BFB9-43B19EA8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2AAD"/>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2B2AAD"/>
    <w:pPr>
      <w:keepNext/>
      <w:numPr>
        <w:ilvl w:val="1"/>
        <w:numId w:val="1"/>
      </w:numPr>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2B2AAD"/>
    <w:pPr>
      <w:keepNext/>
      <w:numPr>
        <w:ilvl w:val="2"/>
        <w:numId w:val="1"/>
      </w:numPr>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2B2AAD"/>
    <w:pPr>
      <w:keepNext/>
      <w:numPr>
        <w:ilvl w:val="3"/>
        <w:numId w:val="1"/>
      </w:numPr>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2B2AAD"/>
    <w:pPr>
      <w:numPr>
        <w:ilvl w:val="4"/>
        <w:numId w:val="1"/>
      </w:numPr>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2B2AAD"/>
    <w:pPr>
      <w:numPr>
        <w:ilvl w:val="5"/>
        <w:numId w:val="1"/>
      </w:numPr>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2B2AAD"/>
    <w:pPr>
      <w:numPr>
        <w:ilvl w:val="6"/>
        <w:numId w:val="1"/>
      </w:numPr>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2B2AAD"/>
    <w:pPr>
      <w:numPr>
        <w:ilvl w:val="7"/>
        <w:numId w:val="1"/>
      </w:numPr>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2B2AAD"/>
    <w:pPr>
      <w:numPr>
        <w:ilvl w:val="8"/>
        <w:numId w:val="1"/>
      </w:numPr>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AAD"/>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2B2AAD"/>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2B2AAD"/>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2B2AAD"/>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2B2AAD"/>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2B2AAD"/>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2B2AAD"/>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2B2AAD"/>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2B2AAD"/>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2025-01-29T03:47:00Z</dcterms:created>
  <dcterms:modified xsi:type="dcterms:W3CDTF">2025-01-29T08:18:00Z</dcterms:modified>
</cp:coreProperties>
</file>