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</w:rPr>
      </w:pPr>
      <w:r>
        <w:rPr>
          <w:b/>
          <w:sz w:val="4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-904240</wp:posOffset>
            </wp:positionV>
            <wp:extent cx="7762875" cy="11573510"/>
            <wp:effectExtent l="0" t="0" r="9525" b="8890"/>
            <wp:wrapNone/>
            <wp:docPr id="2" name="Picture 2" descr="D:\HOT\GRAPHIC DESIGN\COVER BUKU &amp; AGENDA\COVER BUK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:\HOT\GRAPHIC DESIGN\COVER BUKU &amp; AGENDA\COVER BUKU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157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ind w:right="-270"/>
        <w:jc w:val="center"/>
        <w:rPr>
          <w:b/>
          <w:sz w:val="44"/>
        </w:rPr>
      </w:pPr>
      <w:r>
        <w:rPr>
          <w:b/>
          <w:sz w:val="44"/>
        </w:rPr>
        <w:t>KAJIAN RISIKO OPERASIONAL (UNIT JASA O&amp;M)</w:t>
      </w:r>
    </w:p>
    <w:p>
      <w:pPr>
        <w:jc w:val="center"/>
        <w:rPr>
          <w:b/>
          <w:sz w:val="44"/>
        </w:rPr>
      </w:pPr>
      <w:r>
        <w:rPr>
          <w:b/>
          <w:sz w:val="44"/>
        </w:rPr>
        <w:t>PT PJB SERVICES</w:t>
      </w:r>
    </w:p>
    <w:p>
      <w:pPr>
        <w:jc w:val="center"/>
        <w:rPr>
          <w:b/>
          <w:sz w:val="44"/>
        </w:rPr>
      </w:pPr>
      <w:r>
        <w:rPr>
          <w:b/>
          <w:sz w:val="44"/>
        </w:rPr>
        <w:t>TAHUN 2018</w:t>
      </w:r>
    </w:p>
    <w:p>
      <w:pPr>
        <w:jc w:val="center"/>
        <w:rPr>
          <w:b/>
          <w:sz w:val="44"/>
          <w:u w:val="single"/>
        </w:rPr>
      </w:pPr>
    </w:p>
    <w:p>
      <w:pPr>
        <w:jc w:val="center"/>
        <w:rPr>
          <w:b/>
          <w:sz w:val="44"/>
          <w:u w:val="single"/>
        </w:rPr>
      </w:pPr>
      <w:r>
        <w:rPr>
          <w:b/>
          <w:sz w:val="44"/>
          <w:u w:val="single"/>
        </w:rPr>
        <w:t>PLTA ASAHAN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</w:rPr>
      </w:pPr>
    </w:p>
    <w:p>
      <w:pPr>
        <w:jc w:val="center"/>
        <w:rPr>
          <w:b/>
          <w:highlight w:val="yellow"/>
        </w:rPr>
      </w:pPr>
      <w:r>
        <w:rPr>
          <w:b/>
          <w:highlight w:val="yellow"/>
        </w:rPr>
        <w:t>PLTA ASAHAN</w:t>
      </w:r>
    </w:p>
    <w:p>
      <w:pPr>
        <w:pStyle w:val="5"/>
        <w:numPr>
          <w:ilvl w:val="0"/>
          <w:numId w:val="1"/>
        </w:numPr>
        <w:tabs>
          <w:tab w:val="left" w:pos="450"/>
          <w:tab w:val="left" w:pos="810"/>
        </w:tabs>
        <w:ind w:left="990" w:hanging="630"/>
        <w:jc w:val="both"/>
        <w:rPr>
          <w:b/>
          <w:highlight w:val="yellow"/>
          <w:u w:val="single"/>
        </w:rPr>
      </w:pPr>
      <w:r>
        <w:rPr>
          <w:b/>
          <w:highlight w:val="yellow"/>
          <w:u w:val="single"/>
        </w:rPr>
        <w:t>FUNGSI UTAMA DAN TUGAS POKOK UNIT JASA O&amp;M</w:t>
      </w:r>
    </w:p>
    <w:p>
      <w:pPr>
        <w:pStyle w:val="5"/>
        <w:numPr>
          <w:ilvl w:val="0"/>
          <w:numId w:val="2"/>
        </w:numPr>
        <w:tabs>
          <w:tab w:val="left" w:pos="450"/>
          <w:tab w:val="left" w:pos="810"/>
        </w:tabs>
        <w:jc w:val="both"/>
        <w:rPr>
          <w:b/>
          <w:highlight w:val="yellow"/>
        </w:rPr>
      </w:pPr>
      <w:r>
        <w:rPr>
          <w:b/>
          <w:highlight w:val="yellow"/>
        </w:rPr>
        <w:t>FUNGSI UTAMA :</w:t>
      </w:r>
    </w:p>
    <w:p>
      <w:pPr>
        <w:pStyle w:val="5"/>
        <w:tabs>
          <w:tab w:val="left" w:pos="450"/>
          <w:tab w:val="left" w:pos="810"/>
        </w:tabs>
        <w:ind w:left="1170"/>
        <w:jc w:val="both"/>
        <w:rPr>
          <w:highlight w:val="yellow"/>
        </w:rPr>
      </w:pPr>
      <w:r>
        <w:rPr>
          <w:highlight w:val="yellow"/>
        </w:rPr>
        <w:t>Memastikan pelaksanaan eksekusi jasa O&amp;M berjalan sesuai dengan tata kelola pembangkitan dan standar kinerja yang telah ditetapkan sehingga mampu memberikan dukungan terhadap pencapaian bisnis perusahaan.</w:t>
      </w:r>
    </w:p>
    <w:p>
      <w:pPr>
        <w:pStyle w:val="5"/>
        <w:numPr>
          <w:ilvl w:val="0"/>
          <w:numId w:val="2"/>
        </w:numPr>
        <w:tabs>
          <w:tab w:val="left" w:pos="450"/>
          <w:tab w:val="left" w:pos="810"/>
        </w:tabs>
        <w:jc w:val="both"/>
        <w:rPr>
          <w:b/>
          <w:highlight w:val="yellow"/>
        </w:rPr>
      </w:pPr>
      <w:r>
        <w:rPr>
          <w:b/>
          <w:highlight w:val="yellow"/>
        </w:rPr>
        <w:t>TUGAS POKOK UNIT JASAO&amp;M :</w:t>
      </w:r>
    </w:p>
    <w:p>
      <w:pPr>
        <w:pStyle w:val="5"/>
        <w:numPr>
          <w:ilvl w:val="0"/>
          <w:numId w:val="3"/>
        </w:numPr>
        <w:tabs>
          <w:tab w:val="left" w:pos="450"/>
          <w:tab w:val="left" w:pos="810"/>
        </w:tabs>
        <w:jc w:val="both"/>
        <w:rPr>
          <w:highlight w:val="yellow"/>
        </w:rPr>
      </w:pPr>
      <w:r>
        <w:rPr>
          <w:highlight w:val="yellow"/>
        </w:rPr>
        <w:t xml:space="preserve">Memastikan terlaksananya pengelolaan jasa O&amp;M yang handal, aman, efisien, taat regulasi dengan mengacu pada prinsip </w:t>
      </w:r>
      <w:r>
        <w:rPr>
          <w:i/>
          <w:highlight w:val="yellow"/>
        </w:rPr>
        <w:t xml:space="preserve">best practice </w:t>
      </w:r>
      <w:r>
        <w:rPr>
          <w:highlight w:val="yellow"/>
        </w:rPr>
        <w:t xml:space="preserve">manajemen asset pembangkitan dengan mengoptimalkan seluruh potensi sumberdaya yang ada sesuai dengan kewenangan yang diberikan sehingga tercapai target kinerja O&amp;M dan </w:t>
      </w:r>
      <w:r>
        <w:rPr>
          <w:i/>
          <w:highlight w:val="yellow"/>
        </w:rPr>
        <w:t>customer satisfaction</w:t>
      </w:r>
    </w:p>
    <w:p>
      <w:pPr>
        <w:pStyle w:val="5"/>
        <w:numPr>
          <w:ilvl w:val="0"/>
          <w:numId w:val="3"/>
        </w:numPr>
        <w:tabs>
          <w:tab w:val="left" w:pos="450"/>
          <w:tab w:val="left" w:pos="810"/>
        </w:tabs>
        <w:jc w:val="both"/>
        <w:rPr>
          <w:highlight w:val="yellow"/>
        </w:rPr>
      </w:pPr>
      <w:r>
        <w:rPr>
          <w:highlight w:val="yellow"/>
        </w:rPr>
        <w:t>Memastikan kualitas hasil pekerjaan jasa O&amp;M serta pelaporan hasil pekerjaan proyek yang telah disetujui oleh Direksi Pekerjaan di lapangan sesuai dengan spesifikasi yang dipersyaratkan, selanjutnya diserahkan kepada Direktur O&amp;M melalui Divisi O&amp;M 1 / O&amp;M 2 untuk dilakukan verifikasi</w:t>
      </w:r>
    </w:p>
    <w:p>
      <w:pPr>
        <w:pStyle w:val="5"/>
        <w:numPr>
          <w:ilvl w:val="0"/>
          <w:numId w:val="3"/>
        </w:numPr>
        <w:tabs>
          <w:tab w:val="left" w:pos="450"/>
          <w:tab w:val="left" w:pos="810"/>
        </w:tabs>
        <w:jc w:val="both"/>
        <w:rPr>
          <w:highlight w:val="yellow"/>
        </w:rPr>
      </w:pPr>
      <w:r>
        <w:rPr>
          <w:highlight w:val="yellow"/>
        </w:rPr>
        <w:t xml:space="preserve">Memastikan pengelolaan </w:t>
      </w:r>
      <w:r>
        <w:rPr>
          <w:i/>
          <w:highlight w:val="yellow"/>
        </w:rPr>
        <w:t xml:space="preserve">resources </w:t>
      </w:r>
      <w:r>
        <w:rPr>
          <w:highlight w:val="yellow"/>
        </w:rPr>
        <w:t xml:space="preserve">(orang, </w:t>
      </w:r>
      <w:r>
        <w:rPr>
          <w:i/>
          <w:highlight w:val="yellow"/>
        </w:rPr>
        <w:t>tool</w:t>
      </w:r>
      <w:r>
        <w:rPr>
          <w:highlight w:val="yellow"/>
        </w:rPr>
        <w:t xml:space="preserve"> dan material) di unit jasa O&amp;M dilakasanakan dengan sehat, transparan, efektif dan efisien serta sesuai dengan regulasi yang berlaku di Perusahaan</w:t>
      </w:r>
    </w:p>
    <w:p>
      <w:pPr>
        <w:pStyle w:val="5"/>
        <w:numPr>
          <w:ilvl w:val="0"/>
          <w:numId w:val="3"/>
        </w:numPr>
        <w:tabs>
          <w:tab w:val="left" w:pos="450"/>
          <w:tab w:val="left" w:pos="810"/>
        </w:tabs>
        <w:jc w:val="both"/>
        <w:rPr>
          <w:highlight w:val="yellow"/>
        </w:rPr>
      </w:pPr>
      <w:r>
        <w:rPr>
          <w:highlight w:val="yellow"/>
        </w:rPr>
        <w:t>Memastikan hubungan koordinasi yang baik dengan seluruh elemen yang terlibat dalam kegiatan pengelolaan jasa O&amp;M baik internal maupun eksternal, agar pengelolaan jasa O&amp;M berjalan efektif dan efisien</w:t>
      </w:r>
    </w:p>
    <w:p>
      <w:pPr>
        <w:pStyle w:val="5"/>
        <w:numPr>
          <w:ilvl w:val="0"/>
          <w:numId w:val="3"/>
        </w:numPr>
        <w:tabs>
          <w:tab w:val="left" w:pos="450"/>
          <w:tab w:val="left" w:pos="810"/>
        </w:tabs>
        <w:jc w:val="both"/>
        <w:rPr>
          <w:highlight w:val="yellow"/>
        </w:rPr>
      </w:pPr>
      <w:r>
        <w:rPr>
          <w:highlight w:val="yellow"/>
        </w:rPr>
        <w:t>Memastikan pengelolaan dan pembinaan karyawn unit jasa O&amp;M dilaksanakan sehingga tercipta SDM yang berkinerj, berbudaya dan sesuai dengan tata nilai Perusahaan</w:t>
      </w:r>
    </w:p>
    <w:p>
      <w:pPr>
        <w:pStyle w:val="5"/>
        <w:numPr>
          <w:ilvl w:val="0"/>
          <w:numId w:val="3"/>
        </w:numPr>
        <w:tabs>
          <w:tab w:val="left" w:pos="450"/>
          <w:tab w:val="left" w:pos="810"/>
        </w:tabs>
        <w:jc w:val="both"/>
        <w:rPr>
          <w:highlight w:val="yellow"/>
        </w:rPr>
      </w:pPr>
      <w:r>
        <w:rPr>
          <w:highlight w:val="yellow"/>
        </w:rPr>
        <w:t>Memberikan usulan, saran pengembangan pengelolaan unit jasa O&amp;M kepada Direktur O&amp;M agar penyelenggaraan jasa O&amp;M memberikan nilai tambah bagi Perusahaan</w:t>
      </w:r>
    </w:p>
    <w:p>
      <w:pPr>
        <w:pStyle w:val="5"/>
        <w:numPr>
          <w:ilvl w:val="0"/>
          <w:numId w:val="3"/>
        </w:numPr>
        <w:tabs>
          <w:tab w:val="left" w:pos="450"/>
          <w:tab w:val="left" w:pos="810"/>
        </w:tabs>
        <w:spacing w:after="0"/>
        <w:jc w:val="both"/>
        <w:rPr>
          <w:highlight w:val="yellow"/>
        </w:rPr>
      </w:pPr>
      <w:r>
        <w:rPr>
          <w:highlight w:val="yellow"/>
        </w:rPr>
        <w:t>Memastikan terlaksananya dukungan data dan layanan administrasi yang dibutuhkan oleh Kantor Pusat baik berupa pelaporan, progress perkembangan, dll</w:t>
      </w:r>
    </w:p>
    <w:p>
      <w:pPr>
        <w:tabs>
          <w:tab w:val="left" w:pos="3315"/>
        </w:tabs>
        <w:spacing w:after="0"/>
        <w:jc w:val="both"/>
        <w:rPr>
          <w:sz w:val="24"/>
          <w:highlight w:val="yellow"/>
        </w:rPr>
      </w:pPr>
    </w:p>
    <w:p>
      <w:pPr>
        <w:tabs>
          <w:tab w:val="left" w:pos="3315"/>
        </w:tabs>
        <w:spacing w:after="0"/>
        <w:jc w:val="both"/>
        <w:rPr>
          <w:sz w:val="24"/>
          <w:highlight w:val="yellow"/>
        </w:rPr>
      </w:pPr>
    </w:p>
    <w:p>
      <w:pPr>
        <w:tabs>
          <w:tab w:val="left" w:pos="3315"/>
        </w:tabs>
        <w:spacing w:after="0"/>
        <w:jc w:val="both"/>
        <w:rPr>
          <w:sz w:val="24"/>
        </w:rPr>
      </w:pPr>
    </w:p>
    <w:p>
      <w:pPr>
        <w:tabs>
          <w:tab w:val="left" w:pos="3315"/>
        </w:tabs>
        <w:spacing w:after="0"/>
        <w:jc w:val="both"/>
        <w:rPr>
          <w:sz w:val="24"/>
        </w:rPr>
      </w:pPr>
    </w:p>
    <w:p>
      <w:pPr>
        <w:tabs>
          <w:tab w:val="left" w:pos="3315"/>
        </w:tabs>
        <w:spacing w:after="0"/>
        <w:jc w:val="both"/>
        <w:rPr>
          <w:sz w:val="24"/>
        </w:rPr>
      </w:pPr>
    </w:p>
    <w:p>
      <w:pPr>
        <w:tabs>
          <w:tab w:val="left" w:pos="3315"/>
        </w:tabs>
        <w:spacing w:after="0"/>
        <w:jc w:val="both"/>
        <w:rPr>
          <w:sz w:val="24"/>
        </w:rPr>
      </w:pPr>
    </w:p>
    <w:p>
      <w:pPr>
        <w:tabs>
          <w:tab w:val="left" w:pos="3315"/>
        </w:tabs>
        <w:spacing w:after="0"/>
        <w:jc w:val="both"/>
        <w:rPr>
          <w:sz w:val="24"/>
        </w:rPr>
      </w:pPr>
    </w:p>
    <w:p>
      <w:pPr>
        <w:tabs>
          <w:tab w:val="left" w:pos="3315"/>
        </w:tabs>
        <w:spacing w:after="0"/>
        <w:jc w:val="both"/>
        <w:rPr>
          <w:sz w:val="24"/>
        </w:rPr>
      </w:pPr>
    </w:p>
    <w:p>
      <w:pPr>
        <w:tabs>
          <w:tab w:val="left" w:pos="3315"/>
        </w:tabs>
        <w:spacing w:after="0"/>
        <w:jc w:val="both"/>
        <w:rPr>
          <w:sz w:val="24"/>
        </w:rPr>
      </w:pPr>
    </w:p>
    <w:p>
      <w:pPr>
        <w:tabs>
          <w:tab w:val="left" w:pos="3315"/>
        </w:tabs>
        <w:spacing w:after="0"/>
        <w:jc w:val="both"/>
        <w:rPr>
          <w:sz w:val="24"/>
        </w:rPr>
      </w:pPr>
    </w:p>
    <w:p>
      <w:pPr>
        <w:tabs>
          <w:tab w:val="left" w:pos="3315"/>
        </w:tabs>
        <w:spacing w:after="0"/>
        <w:jc w:val="both"/>
        <w:rPr>
          <w:sz w:val="24"/>
        </w:rPr>
      </w:pPr>
    </w:p>
    <w:p>
      <w:pPr>
        <w:tabs>
          <w:tab w:val="left" w:pos="3315"/>
        </w:tabs>
        <w:spacing w:after="0"/>
        <w:jc w:val="both"/>
        <w:rPr>
          <w:sz w:val="24"/>
        </w:rPr>
      </w:pPr>
    </w:p>
    <w:p>
      <w:pPr>
        <w:tabs>
          <w:tab w:val="left" w:pos="3315"/>
        </w:tabs>
        <w:spacing w:after="0"/>
        <w:jc w:val="both"/>
        <w:rPr>
          <w:sz w:val="24"/>
        </w:rPr>
      </w:pPr>
    </w:p>
    <w:p>
      <w:pPr>
        <w:tabs>
          <w:tab w:val="left" w:pos="3315"/>
        </w:tabs>
        <w:spacing w:after="0"/>
        <w:jc w:val="both"/>
        <w:rPr>
          <w:sz w:val="24"/>
        </w:rPr>
      </w:pPr>
    </w:p>
    <w:p>
      <w:pPr>
        <w:pStyle w:val="5"/>
        <w:numPr>
          <w:ilvl w:val="0"/>
          <w:numId w:val="1"/>
        </w:numPr>
        <w:tabs>
          <w:tab w:val="left" w:pos="450"/>
          <w:tab w:val="left" w:pos="810"/>
        </w:tabs>
        <w:spacing w:after="0"/>
        <w:ind w:left="806" w:hanging="446"/>
        <w:jc w:val="both"/>
      </w:pPr>
      <w:r>
        <w:rPr>
          <w:b/>
          <w:u w:val="single"/>
        </w:rPr>
        <w:t>SASARAN PERUSAHAAN</w:t>
      </w: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</w:pPr>
    </w:p>
    <w:tbl>
      <w:tblPr>
        <w:tblStyle w:val="4"/>
        <w:tblW w:w="9000" w:type="dxa"/>
        <w:tblInd w:w="35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30"/>
        <w:gridCol w:w="5670"/>
      </w:tblGrid>
      <w:tr>
        <w:tc>
          <w:tcPr>
            <w:tcW w:w="3330" w:type="dxa"/>
            <w:shd w:val="clear" w:color="auto" w:fill="C00000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center"/>
              <w:rPr>
                <w:b/>
              </w:rPr>
            </w:pPr>
            <w:r>
              <w:rPr>
                <w:b/>
                <w:highlight w:val="yellow"/>
              </w:rPr>
              <w:t>Perspektif</w:t>
            </w:r>
          </w:p>
        </w:tc>
        <w:tc>
          <w:tcPr>
            <w:tcW w:w="5670" w:type="dxa"/>
            <w:shd w:val="clear" w:color="auto" w:fill="C00000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Sasaran Strategis</w:t>
            </w:r>
          </w:p>
        </w:tc>
      </w:tr>
      <w:tr>
        <w:tc>
          <w:tcPr>
            <w:tcW w:w="3330" w:type="dxa"/>
            <w:vMerge w:val="restart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  <w:rPr>
                <w:i/>
              </w:rPr>
            </w:pPr>
            <w:r>
              <w:rPr>
                <w:i/>
              </w:rPr>
              <w:t>Financial</w:t>
            </w: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>F1 : Penguatan Kesehatan Finansial</w:t>
            </w:r>
          </w:p>
        </w:tc>
      </w:tr>
      <w:tr>
        <w:tc>
          <w:tcPr>
            <w:tcW w:w="3330" w:type="dxa"/>
            <w:vMerge w:val="continue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  <w:rPr>
                <w:i/>
              </w:rPr>
            </w:pP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>F2 : Peningkatan Pendapatan</w:t>
            </w:r>
          </w:p>
        </w:tc>
      </w:tr>
      <w:tr>
        <w:tc>
          <w:tcPr>
            <w:tcW w:w="3330" w:type="dxa"/>
            <w:vMerge w:val="continue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  <w:rPr>
                <w:i/>
              </w:rPr>
            </w:pP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>F3 : Efisiensi Biaya</w:t>
            </w:r>
          </w:p>
        </w:tc>
      </w:tr>
      <w:tr>
        <w:tc>
          <w:tcPr>
            <w:tcW w:w="3330" w:type="dxa"/>
            <w:vMerge w:val="restart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  <w:rPr>
                <w:i/>
              </w:rPr>
            </w:pPr>
            <w:r>
              <w:rPr>
                <w:i/>
              </w:rPr>
              <w:t>Stakeholder</w:t>
            </w: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>S1 : Peningkatan Citra Produk dan Kepuasan Pelanggan</w:t>
            </w:r>
          </w:p>
        </w:tc>
      </w:tr>
      <w:tr>
        <w:tc>
          <w:tcPr>
            <w:tcW w:w="3330" w:type="dxa"/>
            <w:vMerge w:val="continue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  <w:rPr>
                <w:i/>
              </w:rPr>
            </w:pP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>S2 : Perluasan Bisnis Segmen Pelanggan</w:t>
            </w:r>
          </w:p>
        </w:tc>
      </w:tr>
      <w:tr>
        <w:tc>
          <w:tcPr>
            <w:tcW w:w="3330" w:type="dxa"/>
            <w:vMerge w:val="restart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  <w:rPr>
                <w:i/>
              </w:rPr>
            </w:pPr>
            <w:r>
              <w:rPr>
                <w:i/>
              </w:rPr>
              <w:t>Internal Process</w:t>
            </w: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>I1 : Pengembangan Portofolio Produk dan Inovasi</w:t>
            </w:r>
          </w:p>
        </w:tc>
      </w:tr>
      <w:tr>
        <w:tc>
          <w:tcPr>
            <w:tcW w:w="3330" w:type="dxa"/>
            <w:vMerge w:val="continue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  <w:rPr>
                <w:i/>
              </w:rPr>
            </w:pP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>I2 : Pengembangan Mitra Strategis dan Anak Perusahaan dengan Mengoptimalkan Sinergi PJB Raya</w:t>
            </w:r>
          </w:p>
        </w:tc>
      </w:tr>
      <w:tr>
        <w:tc>
          <w:tcPr>
            <w:tcW w:w="3330" w:type="dxa"/>
            <w:vMerge w:val="continue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  <w:rPr>
                <w:i/>
              </w:rPr>
            </w:pP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 xml:space="preserve">I3 : Peningkatan Keandalan &amp; Efisiensi Unit melalui </w:t>
            </w:r>
            <w:r>
              <w:rPr>
                <w:i/>
              </w:rPr>
              <w:t>Total Solution for Power Generation</w:t>
            </w:r>
          </w:p>
        </w:tc>
      </w:tr>
      <w:tr>
        <w:tc>
          <w:tcPr>
            <w:tcW w:w="3330" w:type="dxa"/>
            <w:vMerge w:val="continue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  <w:rPr>
                <w:i/>
              </w:rPr>
            </w:pP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 xml:space="preserve">I4 : Optimalisasi </w:t>
            </w:r>
            <w:r>
              <w:rPr>
                <w:i/>
              </w:rPr>
              <w:t>Supply Chain Management</w:t>
            </w:r>
          </w:p>
        </w:tc>
      </w:tr>
      <w:tr>
        <w:tc>
          <w:tcPr>
            <w:tcW w:w="3330" w:type="dxa"/>
            <w:vMerge w:val="continue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  <w:rPr>
                <w:i/>
              </w:rPr>
            </w:pP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>I5 : Penguatan Manajemen Risiko, Kepatuhan dan LK3</w:t>
            </w:r>
          </w:p>
        </w:tc>
      </w:tr>
      <w:tr>
        <w:tc>
          <w:tcPr>
            <w:tcW w:w="3330" w:type="dxa"/>
            <w:vMerge w:val="continue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  <w:rPr>
                <w:i/>
              </w:rPr>
            </w:pP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 xml:space="preserve">I6 : Peningkatan Efektifitas </w:t>
            </w:r>
            <w:r>
              <w:rPr>
                <w:i/>
              </w:rPr>
              <w:t>End-To-End</w:t>
            </w:r>
            <w:r>
              <w:t xml:space="preserve"> Proses Bisnis</w:t>
            </w:r>
          </w:p>
        </w:tc>
      </w:tr>
      <w:tr>
        <w:tc>
          <w:tcPr>
            <w:tcW w:w="3330" w:type="dxa"/>
            <w:vMerge w:val="restart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  <w:rPr>
                <w:i/>
              </w:rPr>
            </w:pPr>
            <w:r>
              <w:rPr>
                <w:i/>
              </w:rPr>
              <w:t>Learning Growth</w:t>
            </w: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 xml:space="preserve">L1 : Peningkatan </w:t>
            </w:r>
            <w:r>
              <w:rPr>
                <w:i/>
              </w:rPr>
              <w:t>Engagement</w:t>
            </w:r>
            <w:r>
              <w:t xml:space="preserve">, Budaya &amp; </w:t>
            </w:r>
            <w:r>
              <w:rPr>
                <w:i/>
              </w:rPr>
              <w:t>Leadership</w:t>
            </w:r>
          </w:p>
        </w:tc>
      </w:tr>
      <w:tr>
        <w:tc>
          <w:tcPr>
            <w:tcW w:w="3330" w:type="dxa"/>
            <w:vMerge w:val="continue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</w:pP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>L2 : Peningkatan Kompetensi OME dan Bisnis</w:t>
            </w:r>
          </w:p>
        </w:tc>
      </w:tr>
      <w:tr>
        <w:tc>
          <w:tcPr>
            <w:tcW w:w="3330" w:type="dxa"/>
            <w:vMerge w:val="continue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</w:pP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 xml:space="preserve">L3 : Peningkatan </w:t>
            </w:r>
            <w:r>
              <w:rPr>
                <w:i/>
              </w:rPr>
              <w:t>Performance</w:t>
            </w:r>
            <w:r>
              <w:t xml:space="preserve"> Organisasi, </w:t>
            </w:r>
            <w:r>
              <w:rPr>
                <w:i/>
              </w:rPr>
              <w:t>Sustainability Resourching</w:t>
            </w:r>
            <w:r>
              <w:t xml:space="preserve"> (</w:t>
            </w:r>
            <w:r>
              <w:rPr>
                <w:i/>
              </w:rPr>
              <w:t>Lean</w:t>
            </w:r>
            <w:r>
              <w:t xml:space="preserve">, </w:t>
            </w:r>
            <w:r>
              <w:rPr>
                <w:i/>
              </w:rPr>
              <w:t>Clean and Agile</w:t>
            </w:r>
            <w:r>
              <w:t>)</w:t>
            </w:r>
          </w:p>
        </w:tc>
      </w:tr>
      <w:tr>
        <w:tc>
          <w:tcPr>
            <w:tcW w:w="3330" w:type="dxa"/>
            <w:vMerge w:val="continue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  <w:jc w:val="both"/>
            </w:pPr>
          </w:p>
        </w:tc>
        <w:tc>
          <w:tcPr>
            <w:tcW w:w="5670" w:type="dxa"/>
          </w:tcPr>
          <w:p>
            <w:pPr>
              <w:pStyle w:val="5"/>
              <w:tabs>
                <w:tab w:val="left" w:pos="450"/>
                <w:tab w:val="left" w:pos="810"/>
              </w:tabs>
              <w:spacing w:after="0" w:line="240" w:lineRule="auto"/>
              <w:ind w:left="0"/>
            </w:pPr>
            <w:r>
              <w:t>L4 : Penguatan Teknologi dan Sistem Terintegrasi</w:t>
            </w:r>
          </w:p>
        </w:tc>
      </w:tr>
    </w:tbl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</w:p>
    <w:p>
      <w:pPr>
        <w:pStyle w:val="5"/>
        <w:numPr>
          <w:ilvl w:val="0"/>
          <w:numId w:val="1"/>
        </w:numPr>
        <w:tabs>
          <w:tab w:val="left" w:pos="450"/>
          <w:tab w:val="left" w:pos="810"/>
        </w:tabs>
        <w:spacing w:after="0"/>
        <w:ind w:left="806" w:hanging="446"/>
        <w:jc w:val="both"/>
        <w:rPr>
          <w:highlight w:val="yellow"/>
        </w:rPr>
      </w:pPr>
      <w:bookmarkStart w:id="0" w:name="_GoBack"/>
      <w:r>
        <w:rPr>
          <w:b/>
          <w:highlight w:val="yellow"/>
          <w:u w:val="single"/>
        </w:rPr>
        <w:t>SASARAN KEGIATAN</w:t>
      </w:r>
    </w:p>
    <w:bookmarkEnd w:id="0"/>
    <w:p>
      <w:pPr>
        <w:pStyle w:val="5"/>
        <w:tabs>
          <w:tab w:val="left" w:pos="450"/>
          <w:tab w:val="left" w:pos="810"/>
        </w:tabs>
        <w:spacing w:after="0"/>
        <w:ind w:left="806"/>
        <w:jc w:val="both"/>
        <w:rPr>
          <w:b/>
          <w:u w:val="single"/>
        </w:rPr>
      </w:pPr>
      <w:r>
        <w:rPr>
          <w:b/>
          <w:u w:val="single"/>
        </w:rPr>
        <w:drawing>
          <wp:inline distT="0" distB="0" distL="0" distR="0">
            <wp:extent cx="5648960" cy="80010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644" cy="800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tabs>
          <w:tab w:val="left" w:pos="450"/>
          <w:tab w:val="left" w:pos="810"/>
        </w:tabs>
        <w:spacing w:after="0"/>
        <w:ind w:left="806" w:hanging="446"/>
        <w:jc w:val="both"/>
      </w:pPr>
      <w:r>
        <w:rPr>
          <w:b/>
          <w:u w:val="single"/>
        </w:rPr>
        <w:t>KRITERIA KEMUNGKINAN (</w:t>
      </w:r>
      <w:r>
        <w:rPr>
          <w:b/>
          <w:i/>
          <w:u w:val="single"/>
        </w:rPr>
        <w:t>LIKELIHOOD</w:t>
      </w:r>
      <w:r>
        <w:rPr>
          <w:b/>
          <w:u w:val="single"/>
        </w:rPr>
        <w:t>) TERJADINYA RISIKO DAN KRITERIA DAMPAK (</w:t>
      </w:r>
      <w:r>
        <w:rPr>
          <w:b/>
          <w:i/>
          <w:u w:val="single"/>
        </w:rPr>
        <w:t>IMPACT RATING</w:t>
      </w:r>
      <w:r>
        <w:rPr>
          <w:b/>
          <w:u w:val="single"/>
        </w:rPr>
        <w:t>) RISIKO</w:t>
      </w:r>
    </w:p>
    <w:p>
      <w:pPr>
        <w:pStyle w:val="5"/>
        <w:numPr>
          <w:ilvl w:val="0"/>
          <w:numId w:val="4"/>
        </w:numPr>
        <w:tabs>
          <w:tab w:val="left" w:pos="450"/>
          <w:tab w:val="left" w:pos="810"/>
        </w:tabs>
        <w:spacing w:before="240"/>
        <w:jc w:val="both"/>
        <w:rPr>
          <w:b/>
        </w:rPr>
      </w:pPr>
      <w:r>
        <w:rPr>
          <w:b/>
        </w:rPr>
        <w:t>KRITERIA KEMUNGKINAN (</w:t>
      </w:r>
      <w:r>
        <w:rPr>
          <w:b/>
          <w:i/>
        </w:rPr>
        <w:t>LIKELIHOOD</w:t>
      </w:r>
      <w:r>
        <w:rPr>
          <w:b/>
        </w:rPr>
        <w:t>) TERJADINYA RISIKO ADALAH SEBAGAI BERIKUT :</w:t>
      </w:r>
    </w:p>
    <w:tbl>
      <w:tblPr>
        <w:tblStyle w:val="3"/>
        <w:tblpPr w:leftFromText="180" w:rightFromText="180" w:vertAnchor="text" w:horzAnchor="margin" w:tblpX="335" w:tblpY="132"/>
        <w:tblW w:w="908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0"/>
        <w:gridCol w:w="1305"/>
        <w:gridCol w:w="1085"/>
        <w:gridCol w:w="1408"/>
        <w:gridCol w:w="2340"/>
        <w:gridCol w:w="2587"/>
      </w:tblGrid>
      <w:tr>
        <w:trPr>
          <w:trHeight w:val="553" w:hRule="atLeast"/>
        </w:trPr>
        <w:tc>
          <w:tcPr>
            <w:tcW w:w="1665" w:type="dxa"/>
            <w:gridSpan w:val="2"/>
            <w:tcBorders>
              <w:bottom w:val="nil"/>
            </w:tcBorders>
            <w:shd w:val="clear" w:color="auto" w:fill="C00000"/>
          </w:tcPr>
          <w:p>
            <w:pPr>
              <w:spacing w:after="0" w:line="240" w:lineRule="auto"/>
              <w:jc w:val="right"/>
              <w:rPr>
                <w:rFonts w:ascii="Arial" w:hAnsi="Arial" w:cs="Arial"/>
                <w:b/>
                <w:color w:val="FFFFFF"/>
                <w:sz w:val="20"/>
                <w:szCs w:val="24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4"/>
              </w:rPr>
              <w:t xml:space="preserve">Parameter </w:t>
            </w:r>
          </w:p>
          <w:p>
            <w:pPr>
              <w:spacing w:after="0" w:line="240" w:lineRule="auto"/>
              <w:jc w:val="right"/>
              <w:rPr>
                <w:rFonts w:ascii="Arial" w:hAnsi="Arial" w:cs="Arial"/>
                <w:b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4"/>
              </w:rPr>
              <w:t xml:space="preserve"> Risiko</w:t>
            </w:r>
          </w:p>
        </w:tc>
        <w:tc>
          <w:tcPr>
            <w:tcW w:w="1085" w:type="dxa"/>
            <w:vMerge w:val="restart"/>
            <w:shd w:val="clear" w:color="auto" w:fill="C00000"/>
            <w:vAlign w:val="center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20"/>
                <w:szCs w:val="24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4"/>
              </w:rPr>
              <w:t>Rating</w:t>
            </w:r>
          </w:p>
        </w:tc>
        <w:tc>
          <w:tcPr>
            <w:tcW w:w="1408" w:type="dxa"/>
            <w:vMerge w:val="restart"/>
            <w:shd w:val="clear" w:color="auto" w:fill="C00000"/>
            <w:vAlign w:val="center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20"/>
                <w:szCs w:val="24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4"/>
              </w:rPr>
              <w:t>Probabilitas</w:t>
            </w:r>
          </w:p>
        </w:tc>
        <w:tc>
          <w:tcPr>
            <w:tcW w:w="2340" w:type="dxa"/>
            <w:vMerge w:val="restart"/>
            <w:shd w:val="clear" w:color="auto" w:fill="C00000"/>
            <w:vAlign w:val="center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20"/>
                <w:szCs w:val="24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4"/>
              </w:rPr>
              <w:t>Deskripsi Kualitatif</w:t>
            </w:r>
          </w:p>
        </w:tc>
        <w:tc>
          <w:tcPr>
            <w:tcW w:w="2587" w:type="dxa"/>
            <w:vMerge w:val="restart"/>
            <w:shd w:val="clear" w:color="auto" w:fill="C00000"/>
            <w:vAlign w:val="center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20"/>
                <w:szCs w:val="24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4"/>
              </w:rPr>
              <w:t>Insiden</w:t>
            </w:r>
          </w:p>
          <w:p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20"/>
                <w:szCs w:val="24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4"/>
              </w:rPr>
              <w:t>Sebelumnya</w:t>
            </w:r>
          </w:p>
        </w:tc>
      </w:tr>
      <w:tr>
        <w:trPr>
          <w:trHeight w:val="404" w:hRule="atLeast"/>
        </w:trPr>
        <w:tc>
          <w:tcPr>
            <w:tcW w:w="1665" w:type="dxa"/>
            <w:gridSpan w:val="2"/>
            <w:tcBorders>
              <w:top w:val="nil"/>
            </w:tcBorders>
            <w:shd w:val="clear" w:color="auto" w:fill="C00000"/>
          </w:tcPr>
          <w:p>
            <w:pPr>
              <w:spacing w:after="0" w:line="240" w:lineRule="auto"/>
              <w:rPr>
                <w:rFonts w:ascii="Arial" w:hAnsi="Arial" w:cs="Arial"/>
                <w:b/>
                <w:color w:val="FFFFFF"/>
                <w:sz w:val="20"/>
                <w:szCs w:val="24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4"/>
              </w:rPr>
              <w:t>Tingkat/</w:t>
            </w:r>
          </w:p>
          <w:p>
            <w:pPr>
              <w:spacing w:after="0" w:line="240" w:lineRule="auto"/>
              <w:rPr>
                <w:rFonts w:ascii="Arial" w:hAnsi="Arial" w:cs="Arial"/>
                <w:b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4"/>
              </w:rPr>
              <w:t xml:space="preserve"> Kemungkinan</w:t>
            </w:r>
          </w:p>
        </w:tc>
        <w:tc>
          <w:tcPr>
            <w:tcW w:w="1085" w:type="dxa"/>
            <w:vMerge w:val="continue"/>
            <w:shd w:val="clear" w:color="auto" w:fill="C00000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</w:tc>
        <w:tc>
          <w:tcPr>
            <w:tcW w:w="1408" w:type="dxa"/>
            <w:vMerge w:val="continue"/>
            <w:shd w:val="clear" w:color="auto" w:fill="C00000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</w:tc>
        <w:tc>
          <w:tcPr>
            <w:tcW w:w="2340" w:type="dxa"/>
            <w:vMerge w:val="continue"/>
            <w:shd w:val="clear" w:color="auto" w:fill="C00000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</w:tc>
        <w:tc>
          <w:tcPr>
            <w:tcW w:w="2587" w:type="dxa"/>
            <w:vMerge w:val="continue"/>
            <w:shd w:val="clear" w:color="auto" w:fill="C00000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</w:tc>
      </w:tr>
      <w:tr>
        <w:trPr>
          <w:trHeight w:val="553" w:hRule="atLeast"/>
        </w:trPr>
        <w:tc>
          <w:tcPr>
            <w:tcW w:w="360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E</w:t>
            </w:r>
          </w:p>
        </w:tc>
        <w:tc>
          <w:tcPr>
            <w:tcW w:w="1305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Sangat Besar</w:t>
            </w:r>
          </w:p>
        </w:tc>
        <w:tc>
          <w:tcPr>
            <w:tcW w:w="1085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0,90</w:t>
            </w:r>
          </w:p>
        </w:tc>
        <w:tc>
          <w:tcPr>
            <w:tcW w:w="1408" w:type="dxa"/>
            <w:shd w:val="clear" w:color="auto" w:fill="FFFFFF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&gt;90%</w:t>
            </w:r>
          </w:p>
        </w:tc>
        <w:tc>
          <w:tcPr>
            <w:tcW w:w="2340" w:type="dxa"/>
            <w:shd w:val="clear" w:color="auto" w:fill="FFFFFF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Hampir dapat dipastikan akan terjadi</w:t>
            </w:r>
          </w:p>
        </w:tc>
        <w:tc>
          <w:tcPr>
            <w:tcW w:w="2587" w:type="dxa"/>
            <w:shd w:val="clear" w:color="auto" w:fill="FFFFFF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bCs/>
                <w:kern w:val="24"/>
                <w:sz w:val="20"/>
                <w:szCs w:val="24"/>
              </w:rPr>
              <w:t>Terjadi lebih dari 12 kali dalam rentang waktu 1 tahun</w:t>
            </w:r>
          </w:p>
        </w:tc>
      </w:tr>
      <w:tr>
        <w:trPr>
          <w:trHeight w:val="538" w:hRule="atLeast"/>
        </w:trPr>
        <w:tc>
          <w:tcPr>
            <w:tcW w:w="360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D</w:t>
            </w:r>
          </w:p>
        </w:tc>
        <w:tc>
          <w:tcPr>
            <w:tcW w:w="1305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Besar</w:t>
            </w:r>
          </w:p>
        </w:tc>
        <w:tc>
          <w:tcPr>
            <w:tcW w:w="1085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0,70</w:t>
            </w:r>
          </w:p>
        </w:tc>
        <w:tc>
          <w:tcPr>
            <w:tcW w:w="1408" w:type="dxa"/>
            <w:shd w:val="clear" w:color="auto" w:fill="FFFFFF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70% - 90%</w:t>
            </w:r>
          </w:p>
        </w:tc>
        <w:tc>
          <w:tcPr>
            <w:tcW w:w="2340" w:type="dxa"/>
            <w:shd w:val="clear" w:color="auto" w:fill="FFFFFF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Kemungkinan besar akan terjadi</w:t>
            </w:r>
          </w:p>
        </w:tc>
        <w:tc>
          <w:tcPr>
            <w:tcW w:w="2587" w:type="dxa"/>
            <w:shd w:val="clear" w:color="auto" w:fill="FFFFFF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bCs/>
                <w:kern w:val="24"/>
                <w:sz w:val="20"/>
                <w:szCs w:val="24"/>
              </w:rPr>
              <w:t>Terjadi 2 sampai dengan 12 kali dalam rentang waktu 1 tahun</w:t>
            </w:r>
          </w:p>
        </w:tc>
      </w:tr>
      <w:tr>
        <w:trPr>
          <w:trHeight w:val="815" w:hRule="atLeast"/>
        </w:trPr>
        <w:tc>
          <w:tcPr>
            <w:tcW w:w="360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C</w:t>
            </w:r>
          </w:p>
        </w:tc>
        <w:tc>
          <w:tcPr>
            <w:tcW w:w="1305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Sedang</w:t>
            </w:r>
          </w:p>
        </w:tc>
        <w:tc>
          <w:tcPr>
            <w:tcW w:w="1085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0,50</w:t>
            </w:r>
          </w:p>
        </w:tc>
        <w:tc>
          <w:tcPr>
            <w:tcW w:w="1408" w:type="dxa"/>
            <w:shd w:val="clear" w:color="auto" w:fill="FFFFFF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&gt;30% - &lt;70%</w:t>
            </w:r>
          </w:p>
        </w:tc>
        <w:tc>
          <w:tcPr>
            <w:tcW w:w="2340" w:type="dxa"/>
            <w:shd w:val="clear" w:color="auto" w:fill="FFFFFF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Kemungkinan sama antara akan terjadi dan tidak terjadi</w:t>
            </w:r>
          </w:p>
        </w:tc>
        <w:tc>
          <w:tcPr>
            <w:tcW w:w="2587" w:type="dxa"/>
            <w:shd w:val="clear" w:color="auto" w:fill="FFFFFF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Terjadi  1 kali dalam rentang waktu 1 tahun terakhir</w:t>
            </w:r>
          </w:p>
        </w:tc>
      </w:tr>
      <w:tr>
        <w:trPr>
          <w:trHeight w:val="830" w:hRule="atLeast"/>
        </w:trPr>
        <w:tc>
          <w:tcPr>
            <w:tcW w:w="360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B</w:t>
            </w:r>
          </w:p>
        </w:tc>
        <w:tc>
          <w:tcPr>
            <w:tcW w:w="1305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Kecil</w:t>
            </w:r>
          </w:p>
        </w:tc>
        <w:tc>
          <w:tcPr>
            <w:tcW w:w="1085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0,30</w:t>
            </w:r>
          </w:p>
        </w:tc>
        <w:tc>
          <w:tcPr>
            <w:tcW w:w="1408" w:type="dxa"/>
            <w:shd w:val="clear" w:color="auto" w:fill="FFFFFF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10% - 30%</w:t>
            </w:r>
          </w:p>
        </w:tc>
        <w:tc>
          <w:tcPr>
            <w:tcW w:w="2340" w:type="dxa"/>
            <w:shd w:val="clear" w:color="auto" w:fill="FFFFFF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Kemungkinan kecil akan terjadi</w:t>
            </w:r>
          </w:p>
        </w:tc>
        <w:tc>
          <w:tcPr>
            <w:tcW w:w="2587" w:type="dxa"/>
            <w:shd w:val="clear" w:color="auto" w:fill="FFFFFF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bCs/>
                <w:kern w:val="24"/>
                <w:sz w:val="20"/>
                <w:szCs w:val="24"/>
              </w:rPr>
              <w:t>Tidak pernah terjadi dalam rentang waktu antara 2 sampai dengan 4 tahun</w:t>
            </w:r>
          </w:p>
        </w:tc>
      </w:tr>
      <w:tr>
        <w:trPr>
          <w:trHeight w:val="830" w:hRule="atLeast"/>
        </w:trPr>
        <w:tc>
          <w:tcPr>
            <w:tcW w:w="360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A</w:t>
            </w:r>
          </w:p>
        </w:tc>
        <w:tc>
          <w:tcPr>
            <w:tcW w:w="1305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Sangat Kecil</w:t>
            </w:r>
          </w:p>
        </w:tc>
        <w:tc>
          <w:tcPr>
            <w:tcW w:w="1085" w:type="dxa"/>
            <w:shd w:val="clear" w:color="auto" w:fill="F4B083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0,10</w:t>
            </w:r>
          </w:p>
        </w:tc>
        <w:tc>
          <w:tcPr>
            <w:tcW w:w="1408" w:type="dxa"/>
            <w:shd w:val="clear" w:color="auto" w:fill="FFFFFF"/>
          </w:tcPr>
          <w:p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&lt;10%</w:t>
            </w:r>
          </w:p>
        </w:tc>
        <w:tc>
          <w:tcPr>
            <w:tcW w:w="2340" w:type="dxa"/>
            <w:shd w:val="clear" w:color="auto" w:fill="FFFFFF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Hampir dapat dipastikan tidak akan terjadi.</w:t>
            </w:r>
          </w:p>
        </w:tc>
        <w:tc>
          <w:tcPr>
            <w:tcW w:w="2587" w:type="dxa"/>
            <w:shd w:val="clear" w:color="auto" w:fill="FFFFFF"/>
          </w:tcPr>
          <w:p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bCs/>
                <w:kern w:val="24"/>
                <w:sz w:val="20"/>
                <w:szCs w:val="24"/>
              </w:rPr>
              <w:t>Tidak pernah terjadi dalam rentang waktu 5 tahun</w:t>
            </w:r>
          </w:p>
        </w:tc>
      </w:tr>
    </w:tbl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spacing w:before="240"/>
        <w:ind w:left="1170"/>
        <w:jc w:val="both"/>
        <w:rPr>
          <w:b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pStyle w:val="5"/>
        <w:numPr>
          <w:ilvl w:val="0"/>
          <w:numId w:val="4"/>
        </w:numPr>
        <w:tabs>
          <w:tab w:val="left" w:pos="450"/>
          <w:tab w:val="left" w:pos="810"/>
        </w:tabs>
        <w:spacing w:before="240"/>
        <w:jc w:val="both"/>
        <w:rPr>
          <w:b/>
        </w:rPr>
      </w:pPr>
      <w:r>
        <w:rPr>
          <w:b/>
        </w:rPr>
        <w:t>KRITERIA DAMPAK (</w:t>
      </w:r>
      <w:r>
        <w:rPr>
          <w:b/>
          <w:i/>
        </w:rPr>
        <w:t>IMPACT RATING</w:t>
      </w:r>
      <w:r>
        <w:rPr>
          <w:b/>
        </w:rPr>
        <w:t>) RISIKO ADALAH SEBAGAI BERIKUT :</w:t>
      </w:r>
    </w:p>
    <w:tbl>
      <w:tblPr>
        <w:tblStyle w:val="3"/>
        <w:tblW w:w="12494" w:type="dxa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3"/>
        <w:gridCol w:w="1625"/>
        <w:gridCol w:w="207"/>
        <w:gridCol w:w="1634"/>
        <w:gridCol w:w="207"/>
        <w:gridCol w:w="1882"/>
        <w:gridCol w:w="207"/>
        <w:gridCol w:w="2022"/>
        <w:gridCol w:w="207"/>
        <w:gridCol w:w="1929"/>
        <w:gridCol w:w="207"/>
        <w:gridCol w:w="1674"/>
      </w:tblGrid>
      <w:tr>
        <w:trPr>
          <w:trHeight w:val="665" w:hRule="atLeast"/>
        </w:trPr>
        <w:tc>
          <w:tcPr>
            <w:tcW w:w="693" w:type="dxa"/>
            <w:tcBorders>
              <w:bottom w:val="single" w:color="000000" w:sz="4" w:space="0"/>
            </w:tcBorders>
            <w:shd w:val="clear" w:color="auto" w:fill="C00000"/>
            <w:vAlign w:val="center"/>
          </w:tcPr>
          <w:p>
            <w:pPr>
              <w:pStyle w:val="5"/>
              <w:spacing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NO</w:t>
            </w:r>
          </w:p>
        </w:tc>
        <w:tc>
          <w:tcPr>
            <w:tcW w:w="1832" w:type="dxa"/>
            <w:gridSpan w:val="2"/>
            <w:tcBorders>
              <w:bottom w:val="single" w:color="000000" w:sz="4" w:space="0"/>
            </w:tcBorders>
            <w:shd w:val="clear" w:color="auto" w:fill="C00000"/>
            <w:vAlign w:val="center"/>
          </w:tcPr>
          <w:p>
            <w:pPr>
              <w:pStyle w:val="5"/>
              <w:spacing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KATEGORI/ PARAMETER RISIKO</w:t>
            </w:r>
          </w:p>
        </w:tc>
        <w:tc>
          <w:tcPr>
            <w:tcW w:w="1841" w:type="dxa"/>
            <w:gridSpan w:val="2"/>
            <w:shd w:val="clear" w:color="auto" w:fill="C00000"/>
            <w:vAlign w:val="center"/>
          </w:tcPr>
          <w:p>
            <w:pPr>
              <w:pStyle w:val="5"/>
              <w:spacing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TIDAK SIGNIFIKAN</w:t>
            </w:r>
          </w:p>
        </w:tc>
        <w:tc>
          <w:tcPr>
            <w:tcW w:w="2089" w:type="dxa"/>
            <w:gridSpan w:val="2"/>
            <w:shd w:val="clear" w:color="auto" w:fill="C00000"/>
            <w:vAlign w:val="center"/>
          </w:tcPr>
          <w:p>
            <w:pPr>
              <w:pStyle w:val="5"/>
              <w:spacing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MINOR</w:t>
            </w:r>
          </w:p>
        </w:tc>
        <w:tc>
          <w:tcPr>
            <w:tcW w:w="2229" w:type="dxa"/>
            <w:gridSpan w:val="2"/>
            <w:shd w:val="clear" w:color="auto" w:fill="C00000"/>
            <w:vAlign w:val="center"/>
          </w:tcPr>
          <w:p>
            <w:pPr>
              <w:pStyle w:val="5"/>
              <w:spacing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MEDIUM</w:t>
            </w:r>
          </w:p>
        </w:tc>
        <w:tc>
          <w:tcPr>
            <w:tcW w:w="2136" w:type="dxa"/>
            <w:gridSpan w:val="2"/>
            <w:shd w:val="clear" w:color="auto" w:fill="C00000"/>
            <w:vAlign w:val="center"/>
          </w:tcPr>
          <w:p>
            <w:pPr>
              <w:pStyle w:val="5"/>
              <w:spacing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SIGNIFIKAN</w:t>
            </w:r>
          </w:p>
        </w:tc>
        <w:tc>
          <w:tcPr>
            <w:tcW w:w="1674" w:type="dxa"/>
            <w:shd w:val="clear" w:color="auto" w:fill="C00000"/>
            <w:vAlign w:val="center"/>
          </w:tcPr>
          <w:p>
            <w:pPr>
              <w:pStyle w:val="5"/>
              <w:spacing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MALAPETAKA</w:t>
            </w:r>
          </w:p>
        </w:tc>
      </w:tr>
      <w:tr>
        <w:trPr>
          <w:trHeight w:val="310" w:hRule="atLeast"/>
        </w:trPr>
        <w:tc>
          <w:tcPr>
            <w:tcW w:w="693" w:type="dxa"/>
            <w:tcBorders>
              <w:bottom w:val="single" w:color="000000" w:sz="4" w:space="0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32" w:type="dxa"/>
            <w:gridSpan w:val="2"/>
            <w:tcBorders>
              <w:bottom w:val="single" w:color="000000" w:sz="4" w:space="0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Rating</w:t>
            </w:r>
          </w:p>
        </w:tc>
        <w:tc>
          <w:tcPr>
            <w:tcW w:w="1841" w:type="dxa"/>
            <w:gridSpan w:val="2"/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0,05</w:t>
            </w:r>
          </w:p>
        </w:tc>
        <w:tc>
          <w:tcPr>
            <w:tcW w:w="2089" w:type="dxa"/>
            <w:gridSpan w:val="2"/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0,10</w:t>
            </w:r>
          </w:p>
        </w:tc>
        <w:tc>
          <w:tcPr>
            <w:tcW w:w="2229" w:type="dxa"/>
            <w:gridSpan w:val="2"/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0,20</w:t>
            </w:r>
          </w:p>
        </w:tc>
        <w:tc>
          <w:tcPr>
            <w:tcW w:w="2136" w:type="dxa"/>
            <w:gridSpan w:val="2"/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0,40</w:t>
            </w:r>
          </w:p>
        </w:tc>
        <w:tc>
          <w:tcPr>
            <w:tcW w:w="1674" w:type="dxa"/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0,80</w:t>
            </w:r>
          </w:p>
        </w:tc>
      </w:tr>
      <w:tr>
        <w:tc>
          <w:tcPr>
            <w:tcW w:w="693" w:type="dxa"/>
            <w:tcBorders>
              <w:bottom w:val="single" w:color="000000" w:sz="4" w:space="0"/>
            </w:tcBorders>
            <w:shd w:val="clear" w:color="auto" w:fill="FFFFFF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***</w:t>
            </w:r>
          </w:p>
        </w:tc>
        <w:tc>
          <w:tcPr>
            <w:tcW w:w="1832" w:type="dxa"/>
            <w:gridSpan w:val="2"/>
            <w:tcBorders>
              <w:bottom w:val="single" w:color="000000" w:sz="4" w:space="0"/>
            </w:tcBorders>
            <w:shd w:val="clear" w:color="auto" w:fill="FFFFFF"/>
          </w:tcPr>
          <w:p>
            <w:pPr>
              <w:spacing w:after="0"/>
              <w:rPr>
                <w:rFonts w:ascii="Arial" w:hAnsi="Arial" w:eastAsia="+mn-ea" w:cs="Arial"/>
                <w:color w:val="000000"/>
                <w:kern w:val="24"/>
                <w:sz w:val="20"/>
                <w:szCs w:val="20"/>
              </w:rPr>
            </w:pPr>
          </w:p>
          <w:p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KRITERIA UMUM</w:t>
            </w:r>
          </w:p>
        </w:tc>
        <w:tc>
          <w:tcPr>
            <w:tcW w:w="1841" w:type="dxa"/>
            <w:gridSpan w:val="2"/>
            <w:shd w:val="clear" w:color="auto" w:fill="FFFFFF"/>
          </w:tcPr>
          <w:p>
            <w:pPr>
              <w:spacing w:after="0"/>
              <w:rPr>
                <w:rFonts w:ascii="Arial" w:hAnsi="Arial" w:eastAsia="+mn-ea" w:cs="Arial"/>
                <w:color w:val="000000"/>
                <w:kern w:val="24"/>
                <w:sz w:val="20"/>
                <w:szCs w:val="20"/>
              </w:rPr>
            </w:pPr>
          </w:p>
          <w:p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eastAsia="+mn-ea" w:cs="Arial"/>
                <w:color w:val="000000"/>
                <w:kern w:val="24"/>
                <w:sz w:val="20"/>
                <w:szCs w:val="20"/>
              </w:rPr>
              <w:t>Dampak risiko dapat diterima, atau termitigasi dengan aktifitas rutin.</w:t>
            </w:r>
          </w:p>
        </w:tc>
        <w:tc>
          <w:tcPr>
            <w:tcW w:w="2089" w:type="dxa"/>
            <w:gridSpan w:val="2"/>
            <w:shd w:val="clear" w:color="auto" w:fill="FFFFFF"/>
          </w:tcPr>
          <w:p>
            <w:pPr>
              <w:spacing w:after="0"/>
              <w:rPr>
                <w:rFonts w:ascii="Arial" w:hAnsi="Arial" w:eastAsia="+mn-ea" w:cs="Arial"/>
                <w:color w:val="000000"/>
                <w:kern w:val="24"/>
                <w:sz w:val="20"/>
                <w:szCs w:val="20"/>
              </w:rPr>
            </w:pPr>
          </w:p>
          <w:p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Dampak risiko dapat diterima, atau dapat dikelola dengan 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effort </w:t>
            </w:r>
            <w:r>
              <w:rPr>
                <w:rFonts w:ascii="Arial" w:hAnsi="Arial" w:cs="Arial"/>
                <w:sz w:val="20"/>
                <w:szCs w:val="20"/>
              </w:rPr>
              <w:t>minimal.</w:t>
            </w:r>
          </w:p>
        </w:tc>
        <w:tc>
          <w:tcPr>
            <w:tcW w:w="2229" w:type="dxa"/>
            <w:gridSpan w:val="2"/>
            <w:shd w:val="clear" w:color="auto" w:fill="FFFFFF"/>
          </w:tcPr>
          <w:p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  <w:p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Dampak risiko berpotensi menurunkan sasaran perusahaan. Diperlukan penanganan/mitigasi.</w:t>
            </w:r>
          </w:p>
        </w:tc>
        <w:tc>
          <w:tcPr>
            <w:tcW w:w="2136" w:type="dxa"/>
            <w:gridSpan w:val="2"/>
            <w:shd w:val="clear" w:color="auto" w:fill="FFFFFF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Dampak risiko berpotensi menghambat sasaran perusahaan. Wajib dilakukan penanganan khusus untuk memitigasinya.</w:t>
            </w:r>
          </w:p>
        </w:tc>
        <w:tc>
          <w:tcPr>
            <w:tcW w:w="1674" w:type="dxa"/>
            <w:shd w:val="clear" w:color="auto" w:fill="FFFFFF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Dampak risiko berpotennsi menggagalkan sasaran perusahaan. Wajib dilakukan penanganan khusus.</w:t>
            </w:r>
          </w:p>
        </w:tc>
      </w:tr>
      <w:tr>
        <w:trPr>
          <w:trHeight w:val="1142" w:hRule="atLeast"/>
        </w:trPr>
        <w:tc>
          <w:tcPr>
            <w:tcW w:w="693" w:type="dxa"/>
            <w:tcBorders>
              <w:bottom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1</w:t>
            </w:r>
          </w:p>
        </w:tc>
        <w:tc>
          <w:tcPr>
            <w:tcW w:w="1832" w:type="dxa"/>
            <w:gridSpan w:val="2"/>
            <w:tcBorders>
              <w:bottom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KEPEMIMPINAN:</w:t>
            </w:r>
          </w:p>
          <w:p>
            <w:pPr>
              <w:pStyle w:val="5"/>
              <w:numPr>
                <w:ilvl w:val="0"/>
                <w:numId w:val="5"/>
              </w:numPr>
              <w:spacing w:after="200" w:line="240" w:lineRule="auto"/>
              <w:ind w:left="318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SDM</w:t>
            </w:r>
          </w:p>
        </w:tc>
        <w:tc>
          <w:tcPr>
            <w:tcW w:w="1841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Keluhan pegawai secara individu.</w:t>
            </w:r>
          </w:p>
        </w:tc>
        <w:tc>
          <w:tcPr>
            <w:tcW w:w="2089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Ketidakpuasan sekelompok pegawai.</w:t>
            </w:r>
          </w:p>
        </w:tc>
        <w:tc>
          <w:tcPr>
            <w:tcW w:w="2229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Protes pegawai yang melibatkan Serikat Pekerja.</w:t>
            </w:r>
          </w:p>
        </w:tc>
        <w:tc>
          <w:tcPr>
            <w:tcW w:w="2136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Demo pegawai dengan pemogokan terbatas.</w:t>
            </w:r>
          </w:p>
        </w:tc>
        <w:tc>
          <w:tcPr>
            <w:tcW w:w="1674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Terjadi mogok kerja dalam skala luas.</w:t>
            </w:r>
          </w:p>
        </w:tc>
      </w:tr>
      <w:tr>
        <w:tc>
          <w:tcPr>
            <w:tcW w:w="693" w:type="dxa"/>
            <w:tcBorders>
              <w:top w:val="nil"/>
              <w:bottom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nil"/>
              <w:bottom w:val="nil"/>
            </w:tcBorders>
          </w:tcPr>
          <w:p>
            <w:pPr>
              <w:pStyle w:val="5"/>
              <w:numPr>
                <w:ilvl w:val="0"/>
                <w:numId w:val="5"/>
              </w:numPr>
              <w:spacing w:after="200" w:line="240" w:lineRule="auto"/>
              <w:ind w:left="318" w:hanging="28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Insiden</w:t>
            </w:r>
          </w:p>
        </w:tc>
        <w:tc>
          <w:tcPr>
            <w:tcW w:w="1841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Insiden memerlukan penanganan oleh atasan langsung.</w:t>
            </w:r>
          </w:p>
        </w:tc>
        <w:tc>
          <w:tcPr>
            <w:tcW w:w="2089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Insiden memerlukan penanganan oleh pihak manajemen (internal).</w:t>
            </w:r>
          </w:p>
        </w:tc>
        <w:tc>
          <w:tcPr>
            <w:tcW w:w="2229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Insiden memerlukan penanganan oleh pihak independen (eksternal).</w:t>
            </w:r>
          </w:p>
        </w:tc>
        <w:tc>
          <w:tcPr>
            <w:tcW w:w="2136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Insiden membutuhkan penjelasan ke pihak berwajib / Pemerintah.</w:t>
            </w:r>
          </w:p>
        </w:tc>
        <w:tc>
          <w:tcPr>
            <w:tcW w:w="1674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Insiden menimbulkan permasalahan / tuntutan hukum.</w:t>
            </w:r>
          </w:p>
        </w:tc>
      </w:tr>
      <w:tr>
        <w:tc>
          <w:tcPr>
            <w:tcW w:w="693" w:type="dxa"/>
            <w:tcBorders>
              <w:top w:val="nil"/>
              <w:bottom w:val="single" w:color="auto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nil"/>
              <w:bottom w:val="single" w:color="auto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c. Citra/Reputasi</w:t>
            </w:r>
          </w:p>
        </w:tc>
        <w:tc>
          <w:tcPr>
            <w:tcW w:w="1841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Dampak tidak berarti, tidak menimbulkan gangguan operasional permanen.</w:t>
            </w:r>
          </w:p>
        </w:tc>
        <w:tc>
          <w:tcPr>
            <w:tcW w:w="2089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Dampak minimum berupa komplain atau ketidakpuasan, tidak mengganggu operasional bisnis.</w:t>
            </w:r>
          </w:p>
        </w:tc>
        <w:tc>
          <w:tcPr>
            <w:tcW w:w="2229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Komplain, ketidakpuasan, demonstrasi dan sorotan media memicu tanggapan </w:t>
            </w:r>
            <w:r>
              <w:rPr>
                <w:rFonts w:ascii="Arial" w:hAnsi="Arial" w:cs="Arial"/>
                <w:i/>
                <w:sz w:val="20"/>
                <w:szCs w:val="20"/>
                <w:lang w:val="id-ID"/>
              </w:rPr>
              <w:t>stakeholder,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operasional bisnis terganggu.</w:t>
            </w:r>
          </w:p>
        </w:tc>
        <w:tc>
          <w:tcPr>
            <w:tcW w:w="2136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Sorotan media yang luas di daerah, memicu tanggapan pemerintah, operasional bisnis terhenti beberapa saat, diperlukan penanganan segera.</w:t>
            </w:r>
          </w:p>
        </w:tc>
        <w:tc>
          <w:tcPr>
            <w:tcW w:w="1674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Sorotan secara nasional, dibutuhkan kebijakan khusus pemerintah, ancaman terhadap bisnis jangka panjang.</w:t>
            </w:r>
          </w:p>
        </w:tc>
      </w:tr>
      <w:tr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41" w:type="dxa"/>
            <w:gridSpan w:val="2"/>
            <w:tcBorders>
              <w:left w:val="nil"/>
              <w:bottom w:val="nil"/>
              <w:right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089" w:type="dxa"/>
            <w:gridSpan w:val="2"/>
            <w:tcBorders>
              <w:left w:val="nil"/>
              <w:bottom w:val="nil"/>
              <w:right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229" w:type="dxa"/>
            <w:gridSpan w:val="2"/>
            <w:tcBorders>
              <w:left w:val="nil"/>
              <w:bottom w:val="nil"/>
              <w:right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136" w:type="dxa"/>
            <w:gridSpan w:val="2"/>
            <w:tcBorders>
              <w:left w:val="nil"/>
              <w:bottom w:val="nil"/>
              <w:right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674" w:type="dxa"/>
            <w:tcBorders>
              <w:left w:val="nil"/>
              <w:bottom w:val="nil"/>
              <w:right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</w:tr>
      <w:tr>
        <w:trPr>
          <w:trHeight w:val="665" w:hRule="atLeast"/>
        </w:trPr>
        <w:tc>
          <w:tcPr>
            <w:tcW w:w="693" w:type="dxa"/>
            <w:tcBorders>
              <w:top w:val="nil"/>
              <w:bottom w:val="single" w:color="000000" w:sz="4" w:space="0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NO</w:t>
            </w:r>
          </w:p>
        </w:tc>
        <w:tc>
          <w:tcPr>
            <w:tcW w:w="1625" w:type="dxa"/>
            <w:tcBorders>
              <w:top w:val="nil"/>
              <w:bottom w:val="single" w:color="000000" w:sz="4" w:space="0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KATEGORI/ PARAMETER RISIKO</w:t>
            </w:r>
          </w:p>
        </w:tc>
        <w:tc>
          <w:tcPr>
            <w:tcW w:w="1841" w:type="dxa"/>
            <w:gridSpan w:val="2"/>
            <w:tcBorders>
              <w:top w:val="nil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TIDAK SIGNIFIKAN</w:t>
            </w:r>
          </w:p>
        </w:tc>
        <w:tc>
          <w:tcPr>
            <w:tcW w:w="2089" w:type="dxa"/>
            <w:gridSpan w:val="2"/>
            <w:tcBorders>
              <w:top w:val="nil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MINOR</w:t>
            </w:r>
          </w:p>
        </w:tc>
        <w:tc>
          <w:tcPr>
            <w:tcW w:w="2229" w:type="dxa"/>
            <w:gridSpan w:val="2"/>
            <w:tcBorders>
              <w:top w:val="nil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MEDIUM</w:t>
            </w:r>
          </w:p>
        </w:tc>
        <w:tc>
          <w:tcPr>
            <w:tcW w:w="2136" w:type="dxa"/>
            <w:gridSpan w:val="2"/>
            <w:tcBorders>
              <w:top w:val="nil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SIGNIFIKAN</w:t>
            </w:r>
          </w:p>
        </w:tc>
        <w:tc>
          <w:tcPr>
            <w:tcW w:w="1881" w:type="dxa"/>
            <w:gridSpan w:val="2"/>
            <w:tcBorders>
              <w:top w:val="nil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MALAPETAKA</w:t>
            </w:r>
          </w:p>
        </w:tc>
      </w:tr>
      <w:tr>
        <w:trPr>
          <w:trHeight w:val="319" w:hRule="atLeast"/>
        </w:trPr>
        <w:tc>
          <w:tcPr>
            <w:tcW w:w="693" w:type="dxa"/>
            <w:tcBorders>
              <w:top w:val="nil"/>
              <w:bottom w:val="single" w:color="000000" w:sz="4" w:space="0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</w:p>
        </w:tc>
        <w:tc>
          <w:tcPr>
            <w:tcW w:w="1625" w:type="dxa"/>
            <w:tcBorders>
              <w:top w:val="nil"/>
              <w:bottom w:val="single" w:color="000000" w:sz="4" w:space="0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Rating</w:t>
            </w:r>
          </w:p>
        </w:tc>
        <w:tc>
          <w:tcPr>
            <w:tcW w:w="1841" w:type="dxa"/>
            <w:gridSpan w:val="2"/>
            <w:tcBorders>
              <w:top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0,05</w:t>
            </w:r>
          </w:p>
        </w:tc>
        <w:tc>
          <w:tcPr>
            <w:tcW w:w="2089" w:type="dxa"/>
            <w:gridSpan w:val="2"/>
            <w:tcBorders>
              <w:top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0,10</w:t>
            </w:r>
          </w:p>
        </w:tc>
        <w:tc>
          <w:tcPr>
            <w:tcW w:w="2229" w:type="dxa"/>
            <w:gridSpan w:val="2"/>
            <w:tcBorders>
              <w:top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0,20</w:t>
            </w:r>
          </w:p>
        </w:tc>
        <w:tc>
          <w:tcPr>
            <w:tcW w:w="2136" w:type="dxa"/>
            <w:gridSpan w:val="2"/>
            <w:tcBorders>
              <w:top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0,40</w:t>
            </w:r>
          </w:p>
        </w:tc>
        <w:tc>
          <w:tcPr>
            <w:tcW w:w="1881" w:type="dxa"/>
            <w:gridSpan w:val="2"/>
            <w:tcBorders>
              <w:top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0,80</w:t>
            </w:r>
          </w:p>
        </w:tc>
      </w:tr>
      <w:tr>
        <w:trPr>
          <w:trHeight w:val="1345" w:hRule="atLeast"/>
        </w:trPr>
        <w:tc>
          <w:tcPr>
            <w:tcW w:w="693" w:type="dxa"/>
            <w:tcBorders>
              <w:top w:val="single" w:color="auto" w:sz="4" w:space="0"/>
              <w:bottom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625" w:type="dxa"/>
            <w:tcBorders>
              <w:top w:val="single" w:color="auto" w:sz="4" w:space="0"/>
              <w:bottom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d. Kepatuhan</w:t>
            </w:r>
          </w:p>
        </w:tc>
        <w:tc>
          <w:tcPr>
            <w:tcW w:w="1841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Pelanggaran hukum dengan pengaduan resmi, memerlukan pembetulan standar.</w:t>
            </w:r>
          </w:p>
        </w:tc>
        <w:tc>
          <w:tcPr>
            <w:tcW w:w="2089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Pelanggaran hukum yang mengakibatkan tuntutan, kegagalan memenuhi audit standar.</w:t>
            </w:r>
          </w:p>
        </w:tc>
        <w:tc>
          <w:tcPr>
            <w:tcW w:w="2229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Pelanggaran hukum yang mengakibatkan tuntutan, kehilangan sertifikat standar internasional.</w:t>
            </w:r>
          </w:p>
        </w:tc>
        <w:tc>
          <w:tcPr>
            <w:tcW w:w="2136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Pelanggaran hukum yang mengakibatkan tuntutan, kehilangan beberapa  sertifikat standar internasional.</w:t>
            </w:r>
          </w:p>
        </w:tc>
        <w:tc>
          <w:tcPr>
            <w:tcW w:w="1881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Pelanggaran hukum  yang mengakibatkan pidana dan kehilangan ijin operasi.</w:t>
            </w:r>
          </w:p>
        </w:tc>
      </w:tr>
      <w:tr>
        <w:tc>
          <w:tcPr>
            <w:tcW w:w="693" w:type="dxa"/>
            <w:tcBorders>
              <w:bottom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2</w:t>
            </w:r>
          </w:p>
        </w:tc>
        <w:tc>
          <w:tcPr>
            <w:tcW w:w="1625" w:type="dxa"/>
            <w:tcBorders>
              <w:bottom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PROSES BISNIS INTERNAL: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a. K-3/ </w:t>
            </w:r>
            <w:r>
              <w:rPr>
                <w:rFonts w:ascii="Arial" w:hAnsi="Arial" w:cs="Arial"/>
                <w:i/>
                <w:sz w:val="20"/>
                <w:szCs w:val="20"/>
                <w:lang w:val="id-ID"/>
              </w:rPr>
              <w:t>Critical Asset</w:t>
            </w:r>
          </w:p>
        </w:tc>
        <w:tc>
          <w:tcPr>
            <w:tcW w:w="1841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Kerusakan </w:t>
            </w:r>
            <w:r>
              <w:rPr>
                <w:rFonts w:ascii="Arial" w:hAnsi="Arial" w:cs="Arial"/>
                <w:i/>
                <w:sz w:val="20"/>
                <w:szCs w:val="20"/>
                <w:lang w:val="id-ID"/>
              </w:rPr>
              <w:t>critical asset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hanya membutuhkan perbaikan minor, atau beberapa hari.</w:t>
            </w:r>
          </w:p>
        </w:tc>
        <w:tc>
          <w:tcPr>
            <w:tcW w:w="2089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Kerusakan </w:t>
            </w:r>
            <w:r>
              <w:rPr>
                <w:rFonts w:ascii="Arial" w:hAnsi="Arial" w:cs="Arial"/>
                <w:i/>
                <w:sz w:val="20"/>
                <w:szCs w:val="20"/>
                <w:lang w:val="id-ID"/>
              </w:rPr>
              <w:t xml:space="preserve">critical asset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hanya membutuhkan perbaikan hingga 1 bulan.</w:t>
            </w:r>
          </w:p>
        </w:tc>
        <w:tc>
          <w:tcPr>
            <w:tcW w:w="2229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Kerusakan </w:t>
            </w:r>
            <w:r>
              <w:rPr>
                <w:rFonts w:ascii="Arial" w:hAnsi="Arial" w:cs="Arial"/>
                <w:i/>
                <w:sz w:val="20"/>
                <w:szCs w:val="20"/>
                <w:lang w:val="id-ID"/>
              </w:rPr>
              <w:t xml:space="preserve">critical asset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hanya membutuhkan perbaikan hingga 3 bulan.</w:t>
            </w:r>
          </w:p>
        </w:tc>
        <w:tc>
          <w:tcPr>
            <w:tcW w:w="2136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Kerusakan </w:t>
            </w:r>
            <w:r>
              <w:rPr>
                <w:rFonts w:ascii="Arial" w:hAnsi="Arial" w:cs="Arial"/>
                <w:i/>
                <w:sz w:val="20"/>
                <w:szCs w:val="20"/>
                <w:lang w:val="id-ID"/>
              </w:rPr>
              <w:t>critical asset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hanya membutuhkan perbaikan hingga 3-6 bulan.</w:t>
            </w:r>
          </w:p>
        </w:tc>
        <w:tc>
          <w:tcPr>
            <w:tcW w:w="1881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Kerusakan </w:t>
            </w:r>
            <w:r>
              <w:rPr>
                <w:rFonts w:ascii="Arial" w:hAnsi="Arial" w:cs="Arial"/>
                <w:i/>
                <w:sz w:val="20"/>
                <w:szCs w:val="20"/>
                <w:lang w:val="id-ID"/>
              </w:rPr>
              <w:t>critical asset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hanya membutuhkan perbaikan &gt; 6 bulan atau penggantian.</w:t>
            </w:r>
          </w:p>
        </w:tc>
      </w:tr>
      <w:tr>
        <w:tc>
          <w:tcPr>
            <w:tcW w:w="693" w:type="dxa"/>
            <w:tcBorders>
              <w:top w:val="nil"/>
              <w:bottom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625" w:type="dxa"/>
            <w:tcBorders>
              <w:top w:val="nil"/>
              <w:bottom w:val="nil"/>
            </w:tcBorders>
          </w:tcPr>
          <w:p>
            <w:pPr>
              <w:pStyle w:val="5"/>
              <w:spacing w:after="0" w:line="240" w:lineRule="auto"/>
              <w:ind w:left="223" w:hanging="22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b. K-3/ Keselamatan Aset</w:t>
            </w:r>
          </w:p>
        </w:tc>
        <w:tc>
          <w:tcPr>
            <w:tcW w:w="1841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Kerusakan aset dapat diperbaiki dengan FLM dan PM.</w:t>
            </w:r>
          </w:p>
        </w:tc>
        <w:tc>
          <w:tcPr>
            <w:tcW w:w="2089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Kerusakan aset ringan.</w:t>
            </w:r>
          </w:p>
        </w:tc>
        <w:tc>
          <w:tcPr>
            <w:tcW w:w="2229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Kerusakan aset sedang.</w:t>
            </w:r>
          </w:p>
        </w:tc>
        <w:tc>
          <w:tcPr>
            <w:tcW w:w="2136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Aset rusak berat, perlu perbaikan.</w:t>
            </w:r>
          </w:p>
        </w:tc>
        <w:tc>
          <w:tcPr>
            <w:tcW w:w="1881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Aset rusak berat, tidak dapat digunakan lagi.</w:t>
            </w:r>
          </w:p>
        </w:tc>
      </w:tr>
      <w:tr>
        <w:tc>
          <w:tcPr>
            <w:tcW w:w="693" w:type="dxa"/>
            <w:tcBorders>
              <w:top w:val="nil"/>
              <w:bottom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625" w:type="dxa"/>
            <w:tcBorders>
              <w:top w:val="nil"/>
              <w:bottom w:val="nil"/>
            </w:tcBorders>
          </w:tcPr>
          <w:p>
            <w:pPr>
              <w:pStyle w:val="5"/>
              <w:spacing w:after="0" w:line="240" w:lineRule="auto"/>
              <w:ind w:left="223" w:hanging="22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c. K-3/ Keselamatan Jiwa</w:t>
            </w:r>
          </w:p>
        </w:tc>
        <w:tc>
          <w:tcPr>
            <w:tcW w:w="1841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Tidak ada korban jiwa.</w:t>
            </w:r>
          </w:p>
        </w:tc>
        <w:tc>
          <w:tcPr>
            <w:tcW w:w="2089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Korban luka ringan (rawat jalan).</w:t>
            </w:r>
          </w:p>
        </w:tc>
        <w:tc>
          <w:tcPr>
            <w:tcW w:w="2229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Korban luka sedang (rawat inap).</w:t>
            </w:r>
          </w:p>
        </w:tc>
        <w:tc>
          <w:tcPr>
            <w:tcW w:w="2136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Korban luka berat/ cacat permanen.</w:t>
            </w:r>
          </w:p>
        </w:tc>
        <w:tc>
          <w:tcPr>
            <w:tcW w:w="1881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Korban jiwa.</w:t>
            </w:r>
          </w:p>
        </w:tc>
      </w:tr>
      <w:tr>
        <w:tc>
          <w:tcPr>
            <w:tcW w:w="693" w:type="dxa"/>
            <w:tcBorders>
              <w:top w:val="nil"/>
              <w:bottom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625" w:type="dxa"/>
            <w:tcBorders>
              <w:top w:val="nil"/>
              <w:bottom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d. Lingkungan</w:t>
            </w:r>
          </w:p>
        </w:tc>
        <w:tc>
          <w:tcPr>
            <w:tcW w:w="1841" w:type="dxa"/>
            <w:gridSpan w:val="2"/>
            <w:tcBorders>
              <w:bottom w:val="single" w:color="000000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Tidak  ada teguran dari KLH.</w:t>
            </w:r>
          </w:p>
        </w:tc>
        <w:tc>
          <w:tcPr>
            <w:tcW w:w="2089" w:type="dxa"/>
            <w:gridSpan w:val="2"/>
            <w:tcBorders>
              <w:bottom w:val="single" w:color="000000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Teguran dari KLH.</w:t>
            </w:r>
          </w:p>
        </w:tc>
        <w:tc>
          <w:tcPr>
            <w:tcW w:w="2229" w:type="dxa"/>
            <w:gridSpan w:val="2"/>
            <w:tcBorders>
              <w:bottom w:val="single" w:color="000000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Peringatan keras dari KLH.</w:t>
            </w:r>
          </w:p>
        </w:tc>
        <w:tc>
          <w:tcPr>
            <w:tcW w:w="2136" w:type="dxa"/>
            <w:gridSpan w:val="2"/>
            <w:tcBorders>
              <w:bottom w:val="single" w:color="000000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Denda/ pembatasan operasional dari KLH</w:t>
            </w:r>
          </w:p>
        </w:tc>
        <w:tc>
          <w:tcPr>
            <w:tcW w:w="1881" w:type="dxa"/>
            <w:gridSpan w:val="2"/>
            <w:tcBorders>
              <w:bottom w:val="single" w:color="000000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Penutupan lokasi, atau pemindahan oleh KLH.</w:t>
            </w:r>
          </w:p>
        </w:tc>
      </w:tr>
      <w:tr>
        <w:tc>
          <w:tcPr>
            <w:tcW w:w="693" w:type="dxa"/>
            <w:tcBorders>
              <w:top w:val="nil"/>
              <w:bottom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625" w:type="dxa"/>
            <w:tcBorders>
              <w:top w:val="nil"/>
              <w:bottom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41" w:type="dxa"/>
            <w:gridSpan w:val="2"/>
            <w:tcBorders>
              <w:bottom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Terjadi pencemaran lingkungan namun masih dalam ambang batas KLH dan dampak terhadap lingkungan dapat diatasi segera.</w:t>
            </w:r>
          </w:p>
        </w:tc>
        <w:tc>
          <w:tcPr>
            <w:tcW w:w="2089" w:type="dxa"/>
            <w:gridSpan w:val="2"/>
            <w:tcBorders>
              <w:bottom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Terjadi pencemaran lingkungan namun masih dalam ambang batas KLH dan dampak terhadap lingkungan dapat diatasi &lt; 1 bulan.</w:t>
            </w:r>
          </w:p>
        </w:tc>
        <w:tc>
          <w:tcPr>
            <w:tcW w:w="2229" w:type="dxa"/>
            <w:gridSpan w:val="2"/>
            <w:tcBorders>
              <w:bottom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Terjadi pencemaran lingkungan di luar ambang batas KLH dan dampak terhadap lingkungan dapat diatasi &gt; 1 bulan.</w:t>
            </w:r>
          </w:p>
        </w:tc>
        <w:tc>
          <w:tcPr>
            <w:tcW w:w="2136" w:type="dxa"/>
            <w:gridSpan w:val="2"/>
            <w:tcBorders>
              <w:bottom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Terjadi pencemaran lingkungan di luar ambang batas KLH dan dampak terhadap lingkungan bersifat permanen, tidak dapat diatasi segera.</w:t>
            </w:r>
          </w:p>
        </w:tc>
        <w:tc>
          <w:tcPr>
            <w:tcW w:w="1881" w:type="dxa"/>
            <w:gridSpan w:val="2"/>
            <w:tcBorders>
              <w:bottom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Terjadi pencemaran lingkungan di luar ambang batas KLH dan dampak terhadap lingkungan bersifat permanen, tidak dapat diatasi.</w:t>
            </w:r>
          </w:p>
        </w:tc>
      </w:tr>
      <w:tr>
        <w:tc>
          <w:tcPr>
            <w:tcW w:w="693" w:type="dxa"/>
            <w:tcBorders>
              <w:top w:val="nil"/>
              <w:bottom w:val="single" w:color="auto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625" w:type="dxa"/>
            <w:tcBorders>
              <w:top w:val="nil"/>
              <w:bottom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41" w:type="dxa"/>
            <w:gridSpan w:val="2"/>
            <w:tcBorders>
              <w:top w:val="nil"/>
              <w:bottom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089" w:type="dxa"/>
            <w:gridSpan w:val="2"/>
            <w:tcBorders>
              <w:top w:val="nil"/>
              <w:bottom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229" w:type="dxa"/>
            <w:gridSpan w:val="2"/>
            <w:tcBorders>
              <w:top w:val="nil"/>
              <w:bottom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136" w:type="dxa"/>
            <w:gridSpan w:val="2"/>
            <w:tcBorders>
              <w:top w:val="nil"/>
              <w:bottom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81" w:type="dxa"/>
            <w:gridSpan w:val="2"/>
            <w:tcBorders>
              <w:top w:val="nil"/>
              <w:bottom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</w:tr>
      <w:tr>
        <w:trPr>
          <w:trHeight w:val="665" w:hRule="atLeast"/>
        </w:trPr>
        <w:tc>
          <w:tcPr>
            <w:tcW w:w="693" w:type="dxa"/>
            <w:tcBorders>
              <w:top w:val="single" w:color="auto" w:sz="4" w:space="0"/>
              <w:bottom w:val="single" w:color="000000" w:sz="4" w:space="0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NO</w:t>
            </w:r>
          </w:p>
        </w:tc>
        <w:tc>
          <w:tcPr>
            <w:tcW w:w="1832" w:type="dxa"/>
            <w:gridSpan w:val="2"/>
            <w:tcBorders>
              <w:top w:val="single" w:color="auto" w:sz="4" w:space="0"/>
              <w:bottom w:val="single" w:color="000000" w:sz="4" w:space="0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KATEGORI/ PARAMETER RISIKO</w:t>
            </w:r>
          </w:p>
        </w:tc>
        <w:tc>
          <w:tcPr>
            <w:tcW w:w="1841" w:type="dxa"/>
            <w:gridSpan w:val="2"/>
            <w:tcBorders>
              <w:top w:val="single" w:color="auto" w:sz="4" w:space="0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TIDAK SIGNIFIKAN</w:t>
            </w:r>
          </w:p>
        </w:tc>
        <w:tc>
          <w:tcPr>
            <w:tcW w:w="2089" w:type="dxa"/>
            <w:gridSpan w:val="2"/>
            <w:tcBorders>
              <w:top w:val="single" w:color="auto" w:sz="4" w:space="0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MINOR</w:t>
            </w:r>
          </w:p>
        </w:tc>
        <w:tc>
          <w:tcPr>
            <w:tcW w:w="2229" w:type="dxa"/>
            <w:gridSpan w:val="2"/>
            <w:tcBorders>
              <w:top w:val="single" w:color="auto" w:sz="4" w:space="0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MEDIUM</w:t>
            </w:r>
          </w:p>
        </w:tc>
        <w:tc>
          <w:tcPr>
            <w:tcW w:w="2136" w:type="dxa"/>
            <w:gridSpan w:val="2"/>
            <w:tcBorders>
              <w:top w:val="single" w:color="auto" w:sz="4" w:space="0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SIGNIFIKAN</w:t>
            </w:r>
          </w:p>
        </w:tc>
        <w:tc>
          <w:tcPr>
            <w:tcW w:w="1674" w:type="dxa"/>
            <w:tcBorders>
              <w:top w:val="single" w:color="auto" w:sz="4" w:space="0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MALAPETAKA</w:t>
            </w:r>
          </w:p>
        </w:tc>
      </w:tr>
      <w:tr>
        <w:trPr>
          <w:trHeight w:val="274" w:hRule="atLeast"/>
        </w:trPr>
        <w:tc>
          <w:tcPr>
            <w:tcW w:w="693" w:type="dxa"/>
            <w:tcBorders>
              <w:top w:val="single" w:color="auto" w:sz="4" w:space="0"/>
              <w:bottom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single" w:color="auto" w:sz="4" w:space="0"/>
              <w:bottom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Rating</w:t>
            </w:r>
          </w:p>
        </w:tc>
        <w:tc>
          <w:tcPr>
            <w:tcW w:w="1841" w:type="dxa"/>
            <w:gridSpan w:val="2"/>
            <w:tcBorders>
              <w:top w:val="single" w:color="auto" w:sz="4" w:space="0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0,05</w:t>
            </w:r>
          </w:p>
        </w:tc>
        <w:tc>
          <w:tcPr>
            <w:tcW w:w="2089" w:type="dxa"/>
            <w:gridSpan w:val="2"/>
            <w:tcBorders>
              <w:top w:val="single" w:color="auto" w:sz="4" w:space="0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0,10</w:t>
            </w:r>
          </w:p>
        </w:tc>
        <w:tc>
          <w:tcPr>
            <w:tcW w:w="2229" w:type="dxa"/>
            <w:gridSpan w:val="2"/>
            <w:tcBorders>
              <w:top w:val="single" w:color="auto" w:sz="4" w:space="0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0,20</w:t>
            </w:r>
          </w:p>
        </w:tc>
        <w:tc>
          <w:tcPr>
            <w:tcW w:w="2136" w:type="dxa"/>
            <w:gridSpan w:val="2"/>
            <w:tcBorders>
              <w:top w:val="single" w:color="auto" w:sz="4" w:space="0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0,40</w:t>
            </w:r>
          </w:p>
        </w:tc>
        <w:tc>
          <w:tcPr>
            <w:tcW w:w="1674" w:type="dxa"/>
            <w:tcBorders>
              <w:top w:val="single" w:color="auto" w:sz="4" w:space="0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0,80</w:t>
            </w:r>
          </w:p>
        </w:tc>
      </w:tr>
      <w:tr>
        <w:tc>
          <w:tcPr>
            <w:tcW w:w="693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pStyle w:val="5"/>
              <w:spacing w:line="240" w:lineRule="auto"/>
              <w:ind w:left="223" w:hanging="22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e. Kelangsungan Usaha</w:t>
            </w:r>
          </w:p>
        </w:tc>
        <w:tc>
          <w:tcPr>
            <w:tcW w:w="1841" w:type="dxa"/>
            <w:gridSpan w:val="2"/>
            <w:tcBorders>
              <w:left w:val="single" w:color="auto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Kegiatan perusahaan terganggu, tidak memberikan dampak terhadap keamanan, keandalan, efisien dan operasi. Dampak tidak dirasakan secara lokal maupun keseluruhan sistem.</w:t>
            </w:r>
          </w:p>
        </w:tc>
        <w:tc>
          <w:tcPr>
            <w:tcW w:w="2089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Kegiatan perusahaan terganggu, tidak signifikan memberikan dampak terhadap keamanan, keandalan, efisien dan operasi Dampak  dirasakan secara lokal (pada alat tersebut saja).</w:t>
            </w:r>
          </w:p>
        </w:tc>
        <w:tc>
          <w:tcPr>
            <w:tcW w:w="2229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Kegiatan perusahaan terganggu memberikan dampak terhadap keamanan, keandalan, efisien dan operasi. Dampak  dirasakan pada satu entitas Unit Pembangkit.</w:t>
            </w:r>
          </w:p>
        </w:tc>
        <w:tc>
          <w:tcPr>
            <w:tcW w:w="2136" w:type="dxa"/>
            <w:gridSpan w:val="2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Kegiatan perusahaan terganggu memberikan dampak terhadap keamanan, keandalan, efisien dan operasi.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Dampak dirasakan pada Unit Kerja/ Pembangkit PJBS.</w:t>
            </w:r>
          </w:p>
        </w:tc>
        <w:tc>
          <w:tcPr>
            <w:tcW w:w="1674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Kegiatan perusahaan terganggu memberikan dampak terhadap keamanan, keandalan, efisien dan operasi.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Dampak dirasakan pada keseluruhan sistem PJBS.</w:t>
            </w:r>
          </w:p>
        </w:tc>
      </w:tr>
      <w:tr>
        <w:tc>
          <w:tcPr>
            <w:tcW w:w="693" w:type="dxa"/>
            <w:tcBorders>
              <w:top w:val="nil"/>
              <w:bottom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nil"/>
              <w:bottom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f. Teknologi</w:t>
            </w:r>
          </w:p>
        </w:tc>
        <w:tc>
          <w:tcPr>
            <w:tcW w:w="1841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Penanganan kerusakan melalui mekanisme repair workshop local.</w:t>
            </w:r>
          </w:p>
        </w:tc>
        <w:tc>
          <w:tcPr>
            <w:tcW w:w="2089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Penanganan kerusakan melalui mekanisme repair vendor.</w:t>
            </w:r>
          </w:p>
        </w:tc>
        <w:tc>
          <w:tcPr>
            <w:tcW w:w="2229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Penanganan kerusakan melalui mekanisme refurbishment / re-manufacture.</w:t>
            </w:r>
          </w:p>
        </w:tc>
        <w:tc>
          <w:tcPr>
            <w:tcW w:w="2136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Penanganan kerusakan melalui mekanisme reverse engineering.</w:t>
            </w:r>
          </w:p>
        </w:tc>
        <w:tc>
          <w:tcPr>
            <w:tcW w:w="1674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Penanganan kerusakan melalui mekanisme vendor  OEM.</w:t>
            </w:r>
          </w:p>
        </w:tc>
      </w:tr>
      <w:tr>
        <w:tc>
          <w:tcPr>
            <w:tcW w:w="693" w:type="dxa"/>
            <w:tcBorders>
              <w:top w:val="nil"/>
              <w:bottom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nil"/>
              <w:bottom w:val="nil"/>
            </w:tcBorders>
          </w:tcPr>
          <w:p>
            <w:pPr>
              <w:pStyle w:val="5"/>
              <w:spacing w:line="240" w:lineRule="auto"/>
              <w:ind w:left="223" w:hanging="22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g. Tuntutan Hukum Pihak Ketiga</w:t>
            </w:r>
          </w:p>
        </w:tc>
        <w:tc>
          <w:tcPr>
            <w:tcW w:w="1841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Penyelesaian tuntutan dilakukan melalui musyawarah.</w:t>
            </w:r>
          </w:p>
        </w:tc>
        <w:tc>
          <w:tcPr>
            <w:tcW w:w="2089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Penyelesaian tuntutan dilakukan melalui musyawarah, dengan tanpa peran mediator.</w:t>
            </w:r>
          </w:p>
        </w:tc>
        <w:tc>
          <w:tcPr>
            <w:tcW w:w="2229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Penyelesaian tuntutan dilakukan melalui alternatif pencapaian sengketa.</w:t>
            </w:r>
          </w:p>
        </w:tc>
        <w:tc>
          <w:tcPr>
            <w:tcW w:w="2136" w:type="dxa"/>
            <w:gridSpan w:val="2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Penyelesaian tuntutan dilakukan melalui proses peradilan, mulai dari Pengadilan Negeri, Banding Pengadilan Tinggi dan Kasasi Mahkamah Agung RI.</w:t>
            </w:r>
          </w:p>
        </w:tc>
        <w:tc>
          <w:tcPr>
            <w:tcW w:w="1674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Penyelesaian tuntutan dilakukan melalui proses Peninjauan Kembali Mahkamah Agung RI.</w:t>
            </w:r>
          </w:p>
        </w:tc>
      </w:tr>
      <w:tr>
        <w:tc>
          <w:tcPr>
            <w:tcW w:w="693" w:type="dxa"/>
            <w:tcBorders>
              <w:top w:val="nil"/>
              <w:bottom w:val="single" w:color="auto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nil"/>
              <w:bottom w:val="single" w:color="auto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h. Pencapaian Kinerja</w:t>
            </w:r>
          </w:p>
        </w:tc>
        <w:tc>
          <w:tcPr>
            <w:tcW w:w="1841" w:type="dxa"/>
            <w:gridSpan w:val="2"/>
            <w:tcBorders>
              <w:bottom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Deviasi terhadap target: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&lt; 5%</w:t>
            </w:r>
          </w:p>
        </w:tc>
        <w:tc>
          <w:tcPr>
            <w:tcW w:w="2089" w:type="dxa"/>
            <w:gridSpan w:val="2"/>
            <w:tcBorders>
              <w:bottom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Deviasi terhadap target: 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5%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&lt;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x &lt; 10%</w:t>
            </w:r>
          </w:p>
        </w:tc>
        <w:tc>
          <w:tcPr>
            <w:tcW w:w="2229" w:type="dxa"/>
            <w:gridSpan w:val="2"/>
            <w:tcBorders>
              <w:bottom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Deviasi terhadap target: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10%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&lt;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x &lt; 30%</w:t>
            </w:r>
          </w:p>
        </w:tc>
        <w:tc>
          <w:tcPr>
            <w:tcW w:w="2136" w:type="dxa"/>
            <w:gridSpan w:val="2"/>
            <w:tcBorders>
              <w:bottom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Deviasi terhadap target: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30%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&lt;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x &lt; 50%</w:t>
            </w:r>
          </w:p>
        </w:tc>
        <w:tc>
          <w:tcPr>
            <w:tcW w:w="1674" w:type="dxa"/>
            <w:tcBorders>
              <w:bottom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Deviasi terhadap target: 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&gt;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50%</w:t>
            </w:r>
          </w:p>
        </w:tc>
      </w:tr>
      <w:tr>
        <w:tc>
          <w:tcPr>
            <w:tcW w:w="69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41" w:type="dxa"/>
            <w:gridSpan w:val="2"/>
            <w:tcBorders>
              <w:left w:val="nil"/>
              <w:bottom w:val="nil"/>
              <w:right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089" w:type="dxa"/>
            <w:gridSpan w:val="2"/>
            <w:tcBorders>
              <w:left w:val="nil"/>
              <w:bottom w:val="nil"/>
              <w:right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229" w:type="dxa"/>
            <w:gridSpan w:val="2"/>
            <w:tcBorders>
              <w:left w:val="nil"/>
              <w:bottom w:val="nil"/>
              <w:right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136" w:type="dxa"/>
            <w:gridSpan w:val="2"/>
            <w:tcBorders>
              <w:left w:val="nil"/>
              <w:bottom w:val="nil"/>
              <w:right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674" w:type="dxa"/>
            <w:tcBorders>
              <w:left w:val="nil"/>
              <w:bottom w:val="nil"/>
              <w:right w:val="nil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</w:tr>
      <w:tr>
        <w:trPr>
          <w:trHeight w:val="665" w:hRule="atLeast"/>
        </w:trPr>
        <w:tc>
          <w:tcPr>
            <w:tcW w:w="693" w:type="dxa"/>
            <w:tcBorders>
              <w:top w:val="nil"/>
              <w:bottom w:val="single" w:color="000000" w:sz="4" w:space="0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NO</w:t>
            </w:r>
          </w:p>
        </w:tc>
        <w:tc>
          <w:tcPr>
            <w:tcW w:w="1832" w:type="dxa"/>
            <w:gridSpan w:val="2"/>
            <w:tcBorders>
              <w:top w:val="nil"/>
              <w:bottom w:val="single" w:color="000000" w:sz="4" w:space="0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KATEGORI/ PARAMETER RISIKO</w:t>
            </w:r>
          </w:p>
        </w:tc>
        <w:tc>
          <w:tcPr>
            <w:tcW w:w="1841" w:type="dxa"/>
            <w:gridSpan w:val="2"/>
            <w:tcBorders>
              <w:top w:val="nil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TIDAK SIGNIFIKAN</w:t>
            </w:r>
          </w:p>
        </w:tc>
        <w:tc>
          <w:tcPr>
            <w:tcW w:w="2089" w:type="dxa"/>
            <w:gridSpan w:val="2"/>
            <w:tcBorders>
              <w:top w:val="nil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MINOR</w:t>
            </w:r>
          </w:p>
        </w:tc>
        <w:tc>
          <w:tcPr>
            <w:tcW w:w="2229" w:type="dxa"/>
            <w:gridSpan w:val="2"/>
            <w:tcBorders>
              <w:top w:val="nil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MEDIUM</w:t>
            </w:r>
          </w:p>
        </w:tc>
        <w:tc>
          <w:tcPr>
            <w:tcW w:w="2136" w:type="dxa"/>
            <w:gridSpan w:val="2"/>
            <w:tcBorders>
              <w:top w:val="nil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SIGNIFIKAN</w:t>
            </w:r>
          </w:p>
        </w:tc>
        <w:tc>
          <w:tcPr>
            <w:tcW w:w="1674" w:type="dxa"/>
            <w:tcBorders>
              <w:top w:val="nil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id-ID"/>
              </w:rPr>
              <w:t>MALAPETAKA</w:t>
            </w:r>
          </w:p>
        </w:tc>
      </w:tr>
      <w:tr>
        <w:trPr>
          <w:trHeight w:val="292" w:hRule="atLeast"/>
        </w:trPr>
        <w:tc>
          <w:tcPr>
            <w:tcW w:w="693" w:type="dxa"/>
            <w:tcBorders>
              <w:top w:val="nil"/>
              <w:bottom w:val="single" w:color="000000" w:sz="4" w:space="0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nil"/>
              <w:bottom w:val="single" w:color="000000" w:sz="4" w:space="0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Rating</w:t>
            </w:r>
          </w:p>
        </w:tc>
        <w:tc>
          <w:tcPr>
            <w:tcW w:w="1841" w:type="dxa"/>
            <w:gridSpan w:val="2"/>
            <w:tcBorders>
              <w:top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0,05</w:t>
            </w:r>
          </w:p>
        </w:tc>
        <w:tc>
          <w:tcPr>
            <w:tcW w:w="2089" w:type="dxa"/>
            <w:gridSpan w:val="2"/>
            <w:tcBorders>
              <w:top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0,10</w:t>
            </w:r>
          </w:p>
        </w:tc>
        <w:tc>
          <w:tcPr>
            <w:tcW w:w="2229" w:type="dxa"/>
            <w:gridSpan w:val="2"/>
            <w:tcBorders>
              <w:top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0,20</w:t>
            </w:r>
          </w:p>
        </w:tc>
        <w:tc>
          <w:tcPr>
            <w:tcW w:w="2136" w:type="dxa"/>
            <w:gridSpan w:val="2"/>
            <w:tcBorders>
              <w:top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0,40</w:t>
            </w:r>
          </w:p>
        </w:tc>
        <w:tc>
          <w:tcPr>
            <w:tcW w:w="1674" w:type="dxa"/>
            <w:tcBorders>
              <w:top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0,80</w:t>
            </w:r>
          </w:p>
        </w:tc>
      </w:tr>
      <w:tr>
        <w:tc>
          <w:tcPr>
            <w:tcW w:w="693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3</w:t>
            </w:r>
          </w:p>
        </w:tc>
        <w:tc>
          <w:tcPr>
            <w:tcW w:w="183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PRODUK &amp; LAYANAN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a. Manajemen O&amp;M</w:t>
            </w:r>
          </w:p>
        </w:tc>
        <w:tc>
          <w:tcPr>
            <w:tcW w:w="184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Deviasi terhadap kontrak: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&lt; 5%</w:t>
            </w:r>
          </w:p>
        </w:tc>
        <w:tc>
          <w:tcPr>
            <w:tcW w:w="208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Deviasi terhadap kontrak: 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5%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&lt;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x &lt; 10%</w:t>
            </w:r>
          </w:p>
        </w:tc>
        <w:tc>
          <w:tcPr>
            <w:tcW w:w="222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Deviasi terhadap kontrak: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10%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&lt;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x &lt; 30%</w:t>
            </w:r>
          </w:p>
        </w:tc>
        <w:tc>
          <w:tcPr>
            <w:tcW w:w="213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Deviasi terhadap kontrak: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30%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&lt;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x &lt; 50%</w:t>
            </w:r>
          </w:p>
        </w:tc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Deviasi terhadap kontrak: 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&gt;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50%</w:t>
            </w:r>
          </w:p>
        </w:tc>
      </w:tr>
      <w:tr>
        <w:tc>
          <w:tcPr>
            <w:tcW w:w="693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tabs>
                <w:tab w:val="left" w:pos="313"/>
              </w:tabs>
              <w:spacing w:after="0" w:line="240" w:lineRule="auto"/>
              <w:ind w:left="223" w:hanging="223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b. Manajemen Proyek Biaya</w:t>
            </w:r>
          </w:p>
        </w:tc>
        <w:tc>
          <w:tcPr>
            <w:tcW w:w="184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Kenaikan biaya 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&lt; 5%</w:t>
            </w:r>
          </w:p>
        </w:tc>
        <w:tc>
          <w:tcPr>
            <w:tcW w:w="208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Kenaikan biaya 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5%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&lt;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x &lt; 10%</w:t>
            </w:r>
          </w:p>
        </w:tc>
        <w:tc>
          <w:tcPr>
            <w:tcW w:w="222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Kenaikan biaya: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10%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&lt;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x &lt; 20%</w:t>
            </w:r>
          </w:p>
        </w:tc>
        <w:tc>
          <w:tcPr>
            <w:tcW w:w="213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Kenaikan biaya: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20%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&lt;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x &lt; 40%</w:t>
            </w:r>
          </w:p>
        </w:tc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Kenaikan biaya: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&gt;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 40%</w:t>
            </w:r>
          </w:p>
        </w:tc>
      </w:tr>
      <w:tr>
        <w:tc>
          <w:tcPr>
            <w:tcW w:w="693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5"/>
              </w:numPr>
              <w:spacing w:after="0" w:line="240" w:lineRule="auto"/>
              <w:ind w:left="223" w:hanging="22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Waktu</w:t>
            </w:r>
          </w:p>
        </w:tc>
        <w:tc>
          <w:tcPr>
            <w:tcW w:w="184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Pertambahan waktu 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&lt; 3%</w:t>
            </w:r>
          </w:p>
        </w:tc>
        <w:tc>
          <w:tcPr>
            <w:tcW w:w="208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Pertambahan waktu: 3%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&lt;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x &lt; 5%</w:t>
            </w:r>
          </w:p>
        </w:tc>
        <w:tc>
          <w:tcPr>
            <w:tcW w:w="222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Pertambahan waktu: 5%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&lt;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x &lt; 10%</w:t>
            </w:r>
          </w:p>
        </w:tc>
        <w:tc>
          <w:tcPr>
            <w:tcW w:w="213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Pertambahan waktu: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10% </w:t>
            </w: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&lt;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x &lt; 20%</w:t>
            </w:r>
          </w:p>
        </w:tc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Pertambahan waktu :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u w:val="single"/>
                <w:lang w:val="id-ID"/>
              </w:rPr>
              <w:t>&gt;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20%</w:t>
            </w:r>
          </w:p>
        </w:tc>
      </w:tr>
      <w:tr>
        <w:tc>
          <w:tcPr>
            <w:tcW w:w="693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tabs>
                <w:tab w:val="left" w:pos="313"/>
              </w:tabs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d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. Scope</w:t>
            </w:r>
          </w:p>
        </w:tc>
        <w:tc>
          <w:tcPr>
            <w:tcW w:w="184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Penurunan </w:t>
            </w:r>
            <w:r>
              <w:rPr>
                <w:rFonts w:ascii="Arial" w:hAnsi="Arial" w:cs="Arial"/>
                <w:i/>
                <w:sz w:val="20"/>
                <w:szCs w:val="20"/>
                <w:lang w:val="id-ID"/>
              </w:rPr>
              <w:t xml:space="preserve">scope 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hampir tidak terlihat.</w:t>
            </w:r>
          </w:p>
        </w:tc>
        <w:tc>
          <w:tcPr>
            <w:tcW w:w="208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Penurunan scope berdampak kecil.</w:t>
            </w:r>
          </w:p>
        </w:tc>
        <w:tc>
          <w:tcPr>
            <w:tcW w:w="222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Penurunan scope berdampak besar.</w:t>
            </w:r>
          </w:p>
        </w:tc>
        <w:tc>
          <w:tcPr>
            <w:tcW w:w="213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Penurunan scope tidak dapat diterima pihak sponsor</w:t>
            </w:r>
          </w:p>
        </w:tc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Kerugian di akhir proyek. </w:t>
            </w:r>
          </w:p>
        </w:tc>
      </w:tr>
      <w:tr>
        <w:tc>
          <w:tcPr>
            <w:tcW w:w="693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183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e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. Kualitas</w:t>
            </w:r>
          </w:p>
        </w:tc>
        <w:tc>
          <w:tcPr>
            <w:tcW w:w="184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Penurunan kualitas hampir tidak terlihat.</w:t>
            </w:r>
          </w:p>
        </w:tc>
        <w:tc>
          <w:tcPr>
            <w:tcW w:w="208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Penurunan kualitas berdampak pada aplikasi tertentu.</w:t>
            </w:r>
          </w:p>
        </w:tc>
        <w:tc>
          <w:tcPr>
            <w:tcW w:w="222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Penurunan kualitas membutuhkan persetujuan pihak sponsor.</w:t>
            </w:r>
          </w:p>
        </w:tc>
        <w:tc>
          <w:tcPr>
            <w:tcW w:w="213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Penurunan scope kualitas tidak dapat diterima pihak sponsor</w:t>
            </w:r>
          </w:p>
        </w:tc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Kerugian di akhir proyek.</w:t>
            </w:r>
          </w:p>
        </w:tc>
      </w:tr>
    </w:tbl>
    <w:p>
      <w:pPr>
        <w:tabs>
          <w:tab w:val="left" w:pos="450"/>
          <w:tab w:val="left" w:pos="810"/>
        </w:tabs>
        <w:jc w:val="both"/>
      </w:pPr>
    </w:p>
    <w:p>
      <w:pPr>
        <w:tabs>
          <w:tab w:val="left" w:pos="450"/>
          <w:tab w:val="left" w:pos="810"/>
        </w:tabs>
        <w:jc w:val="both"/>
      </w:pPr>
    </w:p>
    <w:p>
      <w:pPr>
        <w:tabs>
          <w:tab w:val="left" w:pos="450"/>
          <w:tab w:val="left" w:pos="810"/>
        </w:tabs>
        <w:jc w:val="both"/>
      </w:pPr>
    </w:p>
    <w:p>
      <w:pPr>
        <w:tabs>
          <w:tab w:val="left" w:pos="450"/>
          <w:tab w:val="left" w:pos="810"/>
        </w:tabs>
        <w:jc w:val="both"/>
      </w:pPr>
    </w:p>
    <w:p>
      <w:pPr>
        <w:tabs>
          <w:tab w:val="left" w:pos="450"/>
          <w:tab w:val="left" w:pos="810"/>
        </w:tabs>
        <w:jc w:val="both"/>
      </w:pPr>
    </w:p>
    <w:p>
      <w:pPr>
        <w:tabs>
          <w:tab w:val="left" w:pos="450"/>
          <w:tab w:val="left" w:pos="810"/>
        </w:tabs>
        <w:jc w:val="both"/>
      </w:pPr>
    </w:p>
    <w:p>
      <w:pPr>
        <w:tabs>
          <w:tab w:val="left" w:pos="450"/>
          <w:tab w:val="left" w:pos="810"/>
        </w:tabs>
        <w:jc w:val="both"/>
      </w:pPr>
    </w:p>
    <w:p>
      <w:pPr>
        <w:tabs>
          <w:tab w:val="left" w:pos="450"/>
          <w:tab w:val="left" w:pos="810"/>
        </w:tabs>
        <w:jc w:val="both"/>
      </w:pPr>
    </w:p>
    <w:p>
      <w:pPr>
        <w:tabs>
          <w:tab w:val="left" w:pos="450"/>
          <w:tab w:val="left" w:pos="810"/>
        </w:tabs>
        <w:jc w:val="both"/>
      </w:pPr>
    </w:p>
    <w:p>
      <w:pPr>
        <w:tabs>
          <w:tab w:val="left" w:pos="450"/>
          <w:tab w:val="left" w:pos="810"/>
        </w:tabs>
        <w:jc w:val="both"/>
      </w:pPr>
    </w:p>
    <w:tbl>
      <w:tblPr>
        <w:tblStyle w:val="3"/>
        <w:tblpPr w:leftFromText="180" w:rightFromText="180" w:vertAnchor="page" w:horzAnchor="margin" w:tblpY="1936"/>
        <w:tblW w:w="1267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8"/>
        <w:gridCol w:w="2066"/>
        <w:gridCol w:w="2066"/>
        <w:gridCol w:w="2251"/>
        <w:gridCol w:w="2066"/>
        <w:gridCol w:w="1876"/>
        <w:gridCol w:w="1792"/>
      </w:tblGrid>
      <w:tr>
        <w:tc>
          <w:tcPr>
            <w:tcW w:w="558" w:type="dxa"/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  <w:t>NO</w:t>
            </w:r>
          </w:p>
        </w:tc>
        <w:tc>
          <w:tcPr>
            <w:tcW w:w="2066" w:type="dxa"/>
            <w:tcBorders>
              <w:bottom w:val="nil"/>
            </w:tcBorders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  <w:t>KATEGORI/ PARAMETER RISIKO</w:t>
            </w:r>
          </w:p>
        </w:tc>
        <w:tc>
          <w:tcPr>
            <w:tcW w:w="2066" w:type="dxa"/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  <w:t>TIDAK SIGNIFIKAN</w:t>
            </w:r>
          </w:p>
        </w:tc>
        <w:tc>
          <w:tcPr>
            <w:tcW w:w="2251" w:type="dxa"/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  <w:t>MINOR</w:t>
            </w:r>
          </w:p>
        </w:tc>
        <w:tc>
          <w:tcPr>
            <w:tcW w:w="2066" w:type="dxa"/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  <w:t>MEDIUM</w:t>
            </w:r>
          </w:p>
        </w:tc>
        <w:tc>
          <w:tcPr>
            <w:tcW w:w="1876" w:type="dxa"/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  <w:t>SIGNIFIKAN</w:t>
            </w:r>
          </w:p>
        </w:tc>
        <w:tc>
          <w:tcPr>
            <w:tcW w:w="1792" w:type="dxa"/>
            <w:shd w:val="clear" w:color="auto" w:fill="C00000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0"/>
                <w:lang w:val="id-ID"/>
              </w:rPr>
              <w:t>MALAPETAKA</w:t>
            </w:r>
          </w:p>
        </w:tc>
      </w:tr>
      <w:tr>
        <w:tc>
          <w:tcPr>
            <w:tcW w:w="558" w:type="dxa"/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</w:p>
        </w:tc>
        <w:tc>
          <w:tcPr>
            <w:tcW w:w="2066" w:type="dxa"/>
            <w:tcBorders>
              <w:bottom w:val="nil"/>
            </w:tcBorders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Rating</w:t>
            </w:r>
          </w:p>
        </w:tc>
        <w:tc>
          <w:tcPr>
            <w:tcW w:w="2066" w:type="dxa"/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0,05</w:t>
            </w:r>
          </w:p>
        </w:tc>
        <w:tc>
          <w:tcPr>
            <w:tcW w:w="2251" w:type="dxa"/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0,10</w:t>
            </w:r>
          </w:p>
        </w:tc>
        <w:tc>
          <w:tcPr>
            <w:tcW w:w="2066" w:type="dxa"/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0,20</w:t>
            </w:r>
          </w:p>
        </w:tc>
        <w:tc>
          <w:tcPr>
            <w:tcW w:w="1876" w:type="dxa"/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0,40</w:t>
            </w:r>
          </w:p>
        </w:tc>
        <w:tc>
          <w:tcPr>
            <w:tcW w:w="1792" w:type="dxa"/>
            <w:shd w:val="clear" w:color="auto" w:fill="F4B08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0,80</w:t>
            </w:r>
          </w:p>
        </w:tc>
      </w:tr>
      <w:tr>
        <w:tc>
          <w:tcPr>
            <w:tcW w:w="558" w:type="dxa"/>
            <w:vMerge w:val="restart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4.</w:t>
            </w:r>
          </w:p>
        </w:tc>
        <w:tc>
          <w:tcPr>
            <w:tcW w:w="2066" w:type="dxa"/>
            <w:tcBorders>
              <w:bottom w:val="nil"/>
            </w:tcBorders>
          </w:tcPr>
          <w:p>
            <w:pPr>
              <w:pStyle w:val="5"/>
              <w:spacing w:after="0" w:line="240" w:lineRule="auto"/>
              <w:ind w:left="3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KEUANGAN &amp; PASAR:</w:t>
            </w:r>
          </w:p>
          <w:p>
            <w:pPr>
              <w:pStyle w:val="5"/>
              <w:spacing w:after="0" w:line="240" w:lineRule="auto"/>
              <w:ind w:left="34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numPr>
                <w:ilvl w:val="0"/>
                <w:numId w:val="6"/>
              </w:numPr>
              <w:spacing w:after="0" w:line="240" w:lineRule="auto"/>
              <w:ind w:left="224" w:hanging="19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Nominal Kerugian atau Opportunity Loss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2066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&lt; Rp 50 Juta</w:t>
            </w:r>
          </w:p>
        </w:tc>
        <w:tc>
          <w:tcPr>
            <w:tcW w:w="2251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Rp 50 Juta &lt; x &lt; </w:t>
            </w: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Rp 500 Juta</w:t>
            </w:r>
          </w:p>
        </w:tc>
        <w:tc>
          <w:tcPr>
            <w:tcW w:w="2066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Rp 500 Juta &lt; x &lt; Rp 5 M</w:t>
            </w:r>
          </w:p>
        </w:tc>
        <w:tc>
          <w:tcPr>
            <w:tcW w:w="1876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Rp 5 Milyar &lt; x &lt; Rp 25 Milyar</w:t>
            </w:r>
          </w:p>
        </w:tc>
        <w:tc>
          <w:tcPr>
            <w:tcW w:w="1792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&gt; Rp 25 Milyar</w:t>
            </w:r>
          </w:p>
        </w:tc>
      </w:tr>
      <w:tr>
        <w:tc>
          <w:tcPr>
            <w:tcW w:w="558" w:type="dxa"/>
            <w:vMerge w:val="continue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066" w:type="dxa"/>
            <w:tcBorders>
              <w:top w:val="nil"/>
              <w:bottom w:val="nil"/>
            </w:tcBorders>
          </w:tcPr>
          <w:p>
            <w:pPr>
              <w:pStyle w:val="5"/>
              <w:numPr>
                <w:ilvl w:val="0"/>
                <w:numId w:val="6"/>
              </w:numPr>
              <w:spacing w:after="0" w:line="240" w:lineRule="auto"/>
              <w:ind w:left="224" w:hanging="19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% Kerugian atau Opportunity Loss terhadap Nilai Kontrak</w:t>
            </w:r>
          </w:p>
          <w:p>
            <w:pPr>
              <w:pStyle w:val="5"/>
              <w:spacing w:after="0" w:line="240" w:lineRule="auto"/>
              <w:ind w:left="34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66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&lt; 1%</w:t>
            </w:r>
          </w:p>
        </w:tc>
        <w:tc>
          <w:tcPr>
            <w:tcW w:w="2251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1% &lt; x &lt; 3%</w:t>
            </w:r>
          </w:p>
        </w:tc>
        <w:tc>
          <w:tcPr>
            <w:tcW w:w="2066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3% &lt; x &lt; 5%</w:t>
            </w:r>
          </w:p>
        </w:tc>
        <w:tc>
          <w:tcPr>
            <w:tcW w:w="1876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5%</w:t>
            </w:r>
          </w:p>
        </w:tc>
        <w:tc>
          <w:tcPr>
            <w:tcW w:w="1792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&gt; </w:t>
            </w:r>
            <w:r>
              <w:rPr>
                <w:rFonts w:ascii="Arial" w:hAnsi="Arial" w:cs="Arial"/>
                <w:sz w:val="20"/>
                <w:szCs w:val="20"/>
              </w:rPr>
              <w:t>5%</w:t>
            </w:r>
          </w:p>
        </w:tc>
      </w:tr>
      <w:tr>
        <w:tc>
          <w:tcPr>
            <w:tcW w:w="558" w:type="dxa"/>
            <w:vMerge w:val="continue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066" w:type="dxa"/>
            <w:tcBorders>
              <w:top w:val="nil"/>
              <w:bottom w:val="single" w:color="000000" w:sz="4" w:space="0"/>
            </w:tcBorders>
          </w:tcPr>
          <w:p>
            <w:pPr>
              <w:pStyle w:val="5"/>
              <w:numPr>
                <w:ilvl w:val="0"/>
                <w:numId w:val="6"/>
              </w:numPr>
              <w:spacing w:after="0" w:line="240" w:lineRule="auto"/>
              <w:ind w:left="224" w:hanging="19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Rasio Operasi Beban Kontrak Terhadap Pendapatan</w:t>
            </w:r>
          </w:p>
          <w:p>
            <w:pPr>
              <w:pStyle w:val="5"/>
              <w:spacing w:after="0" w:line="240" w:lineRule="auto"/>
              <w:ind w:left="34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066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&lt; </w:t>
            </w:r>
            <w:r>
              <w:rPr>
                <w:rFonts w:ascii="Arial" w:hAnsi="Arial" w:cs="Arial"/>
                <w:sz w:val="20"/>
                <w:szCs w:val="20"/>
              </w:rPr>
              <w:t>75%</w:t>
            </w:r>
          </w:p>
        </w:tc>
        <w:tc>
          <w:tcPr>
            <w:tcW w:w="2251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75%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&lt; x &lt; </w:t>
            </w:r>
            <w:r>
              <w:rPr>
                <w:rFonts w:ascii="Arial" w:hAnsi="Arial" w:cs="Arial"/>
                <w:sz w:val="20"/>
                <w:szCs w:val="20"/>
              </w:rPr>
              <w:t>85%</w:t>
            </w:r>
          </w:p>
        </w:tc>
        <w:tc>
          <w:tcPr>
            <w:tcW w:w="2066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85%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&lt; x &lt; </w:t>
            </w:r>
            <w:r>
              <w:rPr>
                <w:rFonts w:ascii="Arial" w:hAnsi="Arial" w:cs="Arial"/>
                <w:sz w:val="20"/>
                <w:szCs w:val="20"/>
              </w:rPr>
              <w:t>100%</w:t>
            </w:r>
          </w:p>
        </w:tc>
        <w:tc>
          <w:tcPr>
            <w:tcW w:w="1876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</w:rPr>
              <w:t>100%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 &lt; x &lt; </w:t>
            </w:r>
            <w:r>
              <w:rPr>
                <w:rFonts w:ascii="Arial" w:hAnsi="Arial" w:cs="Arial"/>
                <w:sz w:val="20"/>
                <w:szCs w:val="20"/>
              </w:rPr>
              <w:t>110%</w:t>
            </w:r>
          </w:p>
        </w:tc>
        <w:tc>
          <w:tcPr>
            <w:tcW w:w="1792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 xml:space="preserve">&gt; </w:t>
            </w:r>
            <w:r>
              <w:rPr>
                <w:rFonts w:ascii="Arial" w:hAnsi="Arial" w:cs="Arial"/>
                <w:sz w:val="20"/>
                <w:szCs w:val="20"/>
              </w:rPr>
              <w:t>110%</w:t>
            </w:r>
          </w:p>
        </w:tc>
      </w:tr>
      <w:tr>
        <w:tc>
          <w:tcPr>
            <w:tcW w:w="558" w:type="dxa"/>
            <w:tcBorders>
              <w:top w:val="nil"/>
              <w:bottom w:val="nil"/>
              <w:right w:val="single" w:color="000000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5.</w:t>
            </w:r>
          </w:p>
        </w:tc>
        <w:tc>
          <w:tcPr>
            <w:tcW w:w="2066" w:type="dxa"/>
            <w:tcBorders>
              <w:top w:val="nil"/>
              <w:left w:val="single" w:color="000000" w:sz="4" w:space="0"/>
              <w:bottom w:val="nil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PERTUMBUHAN &amp; PEMBELAJARAN</w:t>
            </w:r>
          </w:p>
          <w:p>
            <w:pPr>
              <w:pStyle w:val="5"/>
              <w:spacing w:line="240" w:lineRule="auto"/>
              <w:ind w:left="224" w:hanging="224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a. Kapasitas &amp; Kapabilitas SDM</w:t>
            </w:r>
          </w:p>
        </w:tc>
        <w:tc>
          <w:tcPr>
            <w:tcW w:w="2066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Ada beberapa pengganti atau kader dan baru siap untuk mengembalikan kapasitas dan kapabilitas SDM yang hilang dalam kurun waktu &lt; 1 bulan.</w:t>
            </w:r>
          </w:p>
        </w:tc>
        <w:tc>
          <w:tcPr>
            <w:tcW w:w="2251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Ada pengganti atau kader dan baru siap untuk mengembalikan kapasitas dan kapabilitas SDM yang hilang dalam kurun waktu  1 bulan s.d 6 bulan.</w:t>
            </w:r>
          </w:p>
        </w:tc>
        <w:tc>
          <w:tcPr>
            <w:tcW w:w="2066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Tidak ada pengganti atau kader dan baru siap untuk mengembalikan kapasitas dan kapabilitas SDM yang hilang dalam kurun waktu 6 bulan s.d 1  tahun.</w:t>
            </w:r>
          </w:p>
        </w:tc>
        <w:tc>
          <w:tcPr>
            <w:tcW w:w="1876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Tidak ada pengganti atau kader dan baru siap untuk mengembalikan kapasitas dan kapabilitas SDM yang hilang dalam kurun waktu  1 tahun s.d 2 tahun.</w:t>
            </w:r>
          </w:p>
        </w:tc>
        <w:tc>
          <w:tcPr>
            <w:tcW w:w="1792" w:type="dxa"/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Tidak ada pengganti atau kader dan baru siap untuk mengembalikan kapasitas dan kapabilitas SDM yang hilang dalam kurun  waktu&gt; 2 tahun.</w:t>
            </w:r>
          </w:p>
        </w:tc>
      </w:tr>
      <w:tr>
        <w:tc>
          <w:tcPr>
            <w:tcW w:w="558" w:type="dxa"/>
            <w:tcBorders>
              <w:top w:val="nil"/>
              <w:right w:val="single" w:color="000000" w:sz="4" w:space="0"/>
            </w:tcBorders>
          </w:tcPr>
          <w:p>
            <w:pPr>
              <w:pStyle w:val="5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066" w:type="dxa"/>
            <w:tcBorders>
              <w:top w:val="nil"/>
              <w:left w:val="single" w:color="000000" w:sz="4" w:space="0"/>
            </w:tcBorders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b. Teknologi Informasi</w:t>
            </w:r>
          </w:p>
        </w:tc>
        <w:tc>
          <w:tcPr>
            <w:tcW w:w="2066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Kerusakan komputer client (karena virus, spam, malware, dll)</w:t>
            </w:r>
          </w:p>
        </w:tc>
        <w:tc>
          <w:tcPr>
            <w:tcW w:w="2251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Kerusakan infrastruktur WAN PJBS.</w:t>
            </w:r>
          </w:p>
        </w:tc>
        <w:tc>
          <w:tcPr>
            <w:tcW w:w="2066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Kerusakan LAN Unit / Kantor Pusat.</w:t>
            </w:r>
          </w:p>
        </w:tc>
        <w:tc>
          <w:tcPr>
            <w:tcW w:w="1876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Kerusakan database/ aplikasi/ server</w:t>
            </w:r>
            <w:r>
              <w:rPr>
                <w:rFonts w:ascii="Arial" w:hAnsi="Arial" w:cs="Arial"/>
                <w:sz w:val="20"/>
                <w:szCs w:val="20"/>
              </w:rPr>
              <w:t xml:space="preserve"> di data center</w:t>
            </w:r>
            <w:r>
              <w:rPr>
                <w:rFonts w:ascii="Arial" w:hAnsi="Arial" w:cs="Arial"/>
                <w:sz w:val="20"/>
                <w:szCs w:val="20"/>
                <w:lang w:val="id-ID"/>
              </w:rPr>
              <w:t>.</w:t>
            </w:r>
          </w:p>
        </w:tc>
        <w:tc>
          <w:tcPr>
            <w:tcW w:w="1792" w:type="dxa"/>
          </w:tcPr>
          <w:p>
            <w:pPr>
              <w:pStyle w:val="5"/>
              <w:spacing w:line="240" w:lineRule="auto"/>
              <w:ind w:left="0"/>
              <w:rPr>
                <w:rFonts w:ascii="Arial" w:hAnsi="Arial" w:cs="Arial"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sz w:val="20"/>
                <w:szCs w:val="20"/>
                <w:lang w:val="id-ID"/>
              </w:rPr>
              <w:t>Data centre PJBS dan DRC tidak berfungsi total.</w:t>
            </w:r>
          </w:p>
        </w:tc>
      </w:tr>
    </w:tbl>
    <w:p>
      <w:pPr>
        <w:tabs>
          <w:tab w:val="left" w:pos="450"/>
          <w:tab w:val="left" w:pos="810"/>
        </w:tabs>
        <w:jc w:val="both"/>
      </w:pPr>
    </w:p>
    <w:p>
      <w:pPr>
        <w:tabs>
          <w:tab w:val="left" w:pos="450"/>
          <w:tab w:val="left" w:pos="810"/>
        </w:tabs>
        <w:ind w:left="360"/>
        <w:jc w:val="both"/>
      </w:pPr>
    </w:p>
    <w:p>
      <w:pPr>
        <w:tabs>
          <w:tab w:val="left" w:pos="450"/>
          <w:tab w:val="left" w:pos="810"/>
        </w:tabs>
        <w:ind w:left="360"/>
        <w:jc w:val="both"/>
        <w:sectPr>
          <w:pgSz w:w="15840" w:h="12240" w:orient="landscape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pStyle w:val="5"/>
        <w:numPr>
          <w:ilvl w:val="0"/>
          <w:numId w:val="1"/>
        </w:numPr>
        <w:tabs>
          <w:tab w:val="left" w:pos="450"/>
          <w:tab w:val="left" w:pos="810"/>
        </w:tabs>
        <w:ind w:left="810" w:hanging="450"/>
        <w:jc w:val="both"/>
        <w:rPr>
          <w:b/>
        </w:rPr>
      </w:pPr>
      <w:r>
        <w:rPr>
          <w:b/>
          <w:u w:val="single"/>
        </w:rPr>
        <w:t>KAJIAN RISIKO OPERASIONAL PLTA ASAHAN PT PJB SERVICES TAHUN 2018</w:t>
      </w:r>
    </w:p>
    <w:tbl>
      <w:tblPr>
        <w:tblStyle w:val="3"/>
        <w:tblW w:w="1295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8"/>
        <w:gridCol w:w="945"/>
        <w:gridCol w:w="945"/>
        <w:gridCol w:w="977"/>
        <w:gridCol w:w="1080"/>
        <w:gridCol w:w="1170"/>
        <w:gridCol w:w="955"/>
        <w:gridCol w:w="915"/>
        <w:gridCol w:w="1694"/>
        <w:gridCol w:w="907"/>
        <w:gridCol w:w="1706"/>
        <w:gridCol w:w="1198"/>
      </w:tblGrid>
      <w:tr>
        <w:trPr>
          <w:trHeight w:val="244" w:hRule="atLeast"/>
        </w:trPr>
        <w:tc>
          <w:tcPr>
            <w:tcW w:w="45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No</w:t>
            </w:r>
          </w:p>
        </w:tc>
        <w:tc>
          <w:tcPr>
            <w:tcW w:w="94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Sasaran Strategis</w:t>
            </w:r>
          </w:p>
        </w:tc>
        <w:tc>
          <w:tcPr>
            <w:tcW w:w="94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Sasaran Kegiatan</w:t>
            </w:r>
          </w:p>
        </w:tc>
        <w:tc>
          <w:tcPr>
            <w:tcW w:w="322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Identifikasi Risiko</w:t>
            </w:r>
          </w:p>
        </w:tc>
        <w:tc>
          <w:tcPr>
            <w:tcW w:w="95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Pemilik Risiko</w:t>
            </w:r>
          </w:p>
        </w:tc>
        <w:tc>
          <w:tcPr>
            <w:tcW w:w="91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Lavel Inheren Risk</w:t>
            </w:r>
          </w:p>
        </w:tc>
        <w:tc>
          <w:tcPr>
            <w:tcW w:w="169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Aktivitas yang sudah ada untuk Pencegahan dan Pemulihan</w:t>
            </w:r>
          </w:p>
        </w:tc>
        <w:tc>
          <w:tcPr>
            <w:tcW w:w="90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Level Current Risk</w:t>
            </w:r>
          </w:p>
        </w:tc>
        <w:tc>
          <w:tcPr>
            <w:tcW w:w="170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Rencana Penanganan Risiko (Mitigasi)</w:t>
            </w:r>
          </w:p>
        </w:tc>
        <w:tc>
          <w:tcPr>
            <w:tcW w:w="119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Level Residual Risk yang Ditargetkan</w:t>
            </w:r>
          </w:p>
        </w:tc>
      </w:tr>
      <w:tr>
        <w:trPr>
          <w:trHeight w:val="582" w:hRule="atLeast"/>
        </w:trPr>
        <w:tc>
          <w:tcPr>
            <w:tcW w:w="45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4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4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Risiko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Penyebab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</w:p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  <w:t>Dampak</w:t>
            </w:r>
          </w:p>
        </w:tc>
        <w:tc>
          <w:tcPr>
            <w:tcW w:w="95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1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69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90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70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119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b/>
                <w:bCs/>
                <w:color w:val="FFFFFF"/>
                <w:sz w:val="20"/>
                <w:szCs w:val="20"/>
              </w:rPr>
            </w:pPr>
          </w:p>
        </w:tc>
      </w:tr>
      <w:tr>
        <w:trPr>
          <w:trHeight w:val="178" w:hRule="atLeast"/>
        </w:trPr>
        <w:tc>
          <w:tcPr>
            <w:tcW w:w="45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45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45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77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80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70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55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15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6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7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9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jc w:val="center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>
        <w:trPr>
          <w:trHeight w:val="178" w:hRule="atLeast"/>
        </w:trPr>
        <w:tc>
          <w:tcPr>
            <w:tcW w:w="45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4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45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7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70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5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1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19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</w:tr>
      <w:tr>
        <w:trPr>
          <w:trHeight w:val="178" w:hRule="atLeast"/>
        </w:trPr>
        <w:tc>
          <w:tcPr>
            <w:tcW w:w="45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4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45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7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70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5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1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</w:rPr>
            </w:pPr>
            <w:r>
              <w:rPr>
                <w:rFonts w:ascii="Calibri" w:hAnsi="Calibri" w:eastAsia="Times New Roman" w:cs="Times New Roman"/>
                <w:color w:val="000000"/>
              </w:rPr>
              <w:t> </w:t>
            </w:r>
          </w:p>
        </w:tc>
        <w:tc>
          <w:tcPr>
            <w:tcW w:w="119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</w:tr>
      <w:tr>
        <w:trPr>
          <w:trHeight w:val="178" w:hRule="atLeast"/>
        </w:trPr>
        <w:tc>
          <w:tcPr>
            <w:tcW w:w="45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4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45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7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7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5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15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7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</w:rPr>
            </w:pPr>
            <w:r>
              <w:rPr>
                <w:rFonts w:ascii="Calibri" w:hAnsi="Calibri" w:eastAsia="Times New Roman" w:cs="Times New Roman"/>
                <w:color w:val="000000"/>
              </w:rPr>
              <w:t> </w:t>
            </w:r>
          </w:p>
        </w:tc>
        <w:tc>
          <w:tcPr>
            <w:tcW w:w="119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rPr>
                <w:rFonts w:ascii="Calibri" w:hAnsi="Calibri" w:eastAsia="Times New Roman" w:cs="Times New Roman"/>
                <w:color w:val="000000"/>
                <w:sz w:val="20"/>
                <w:szCs w:val="20"/>
              </w:rPr>
            </w:pPr>
          </w:p>
        </w:tc>
      </w:tr>
    </w:tbl>
    <w:p>
      <w:pPr>
        <w:tabs>
          <w:tab w:val="left" w:pos="450"/>
          <w:tab w:val="left" w:pos="810"/>
        </w:tabs>
        <w:ind w:left="360"/>
        <w:jc w:val="both"/>
        <w:rPr>
          <w:b/>
        </w:rPr>
      </w:pPr>
    </w:p>
    <w:p>
      <w:pPr>
        <w:pStyle w:val="5"/>
        <w:tabs>
          <w:tab w:val="left" w:pos="450"/>
          <w:tab w:val="left" w:pos="810"/>
        </w:tabs>
        <w:ind w:left="810"/>
        <w:jc w:val="both"/>
        <w:rPr>
          <w:b/>
        </w:r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sectPr>
          <w:pgSz w:w="15840" w:h="12240" w:orient="landscape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tbl>
      <w:tblPr>
        <w:tblStyle w:val="4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8"/>
        <w:gridCol w:w="1558"/>
        <w:gridCol w:w="1559"/>
        <w:gridCol w:w="1558"/>
        <w:gridCol w:w="3117"/>
      </w:tblGrid>
      <w:tr>
        <w:tc>
          <w:tcPr>
            <w:tcW w:w="9350" w:type="dxa"/>
            <w:gridSpan w:val="5"/>
          </w:tcPr>
          <w:p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Sasaran Strategis   :</w:t>
            </w:r>
          </w:p>
          <w:p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Sasaran Kegiatan   :</w:t>
            </w:r>
          </w:p>
          <w:p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Risiko                        :</w:t>
            </w:r>
          </w:p>
          <w:p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Pemilik Risiko         :</w:t>
            </w:r>
          </w:p>
        </w:tc>
      </w:tr>
      <w:tr>
        <w:tc>
          <w:tcPr>
            <w:tcW w:w="4675" w:type="dxa"/>
            <w:gridSpan w:val="3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Penyebab:</w:t>
            </w:r>
          </w:p>
          <w:p>
            <w:pPr>
              <w:spacing w:after="0" w:line="240" w:lineRule="auto"/>
              <w:jc w:val="center"/>
              <w:rPr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4675" w:type="dxa"/>
            <w:gridSpan w:val="2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Dampak:</w:t>
            </w:r>
          </w:p>
        </w:tc>
      </w:tr>
      <w:tr>
        <w:tc>
          <w:tcPr>
            <w:tcW w:w="1558" w:type="dxa"/>
            <w:shd w:val="clear" w:color="auto" w:fill="FF0000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D4</w:t>
            </w:r>
          </w:p>
        </w:tc>
        <w:tc>
          <w:tcPr>
            <w:tcW w:w="7792" w:type="dxa"/>
            <w:gridSpan w:val="4"/>
          </w:tcPr>
          <w:p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Level Inherent Risk</w:t>
            </w:r>
          </w:p>
        </w:tc>
      </w:tr>
      <w:tr>
        <w:tc>
          <w:tcPr>
            <w:tcW w:w="9350" w:type="dxa"/>
            <w:gridSpan w:val="5"/>
          </w:tcPr>
          <w:p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Aktifitas Yang Sudah Ada Untuk Pencegahan dan Pemulihan :</w:t>
            </w:r>
          </w:p>
          <w:p>
            <w:pPr>
              <w:spacing w:after="0" w:line="240" w:lineRule="auto"/>
              <w:jc w:val="both"/>
              <w:rPr>
                <w:b/>
              </w:rPr>
            </w:pPr>
          </w:p>
          <w:p>
            <w:pPr>
              <w:spacing w:after="0" w:line="240" w:lineRule="auto"/>
              <w:jc w:val="both"/>
              <w:rPr>
                <w:b/>
              </w:rPr>
            </w:pPr>
          </w:p>
          <w:p>
            <w:pPr>
              <w:spacing w:after="0" w:line="240" w:lineRule="auto"/>
              <w:jc w:val="both"/>
              <w:rPr>
                <w:b/>
              </w:rPr>
            </w:pPr>
          </w:p>
          <w:p>
            <w:pPr>
              <w:spacing w:after="0" w:line="240" w:lineRule="auto"/>
              <w:jc w:val="both"/>
              <w:rPr>
                <w:b/>
              </w:rPr>
            </w:pPr>
          </w:p>
          <w:p>
            <w:pPr>
              <w:spacing w:after="0" w:line="240" w:lineRule="auto"/>
              <w:jc w:val="both"/>
              <w:rPr>
                <w:b/>
              </w:rPr>
            </w:pPr>
          </w:p>
          <w:p>
            <w:pPr>
              <w:spacing w:after="0" w:line="240" w:lineRule="auto"/>
              <w:jc w:val="both"/>
              <w:rPr>
                <w:b/>
              </w:rPr>
            </w:pPr>
          </w:p>
          <w:p>
            <w:pPr>
              <w:spacing w:after="0" w:line="240" w:lineRule="auto"/>
              <w:jc w:val="both"/>
              <w:rPr>
                <w:b/>
              </w:rPr>
            </w:pPr>
          </w:p>
        </w:tc>
      </w:tr>
      <w:tr>
        <w:tc>
          <w:tcPr>
            <w:tcW w:w="1558" w:type="dxa"/>
            <w:shd w:val="clear" w:color="auto" w:fill="FFFF00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C3</w:t>
            </w:r>
          </w:p>
        </w:tc>
        <w:tc>
          <w:tcPr>
            <w:tcW w:w="7792" w:type="dxa"/>
            <w:gridSpan w:val="4"/>
          </w:tcPr>
          <w:p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Level Current Risk</w:t>
            </w:r>
          </w:p>
        </w:tc>
      </w:tr>
      <w:tr>
        <w:tc>
          <w:tcPr>
            <w:tcW w:w="3116" w:type="dxa"/>
            <w:gridSpan w:val="2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Rencana Penanganan Risiko (Mitigasi) :</w:t>
            </w:r>
          </w:p>
          <w:p>
            <w:pPr>
              <w:spacing w:after="0" w:line="240" w:lineRule="auto"/>
              <w:jc w:val="center"/>
              <w:rPr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</w:rPr>
            </w:pPr>
          </w:p>
          <w:p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3117" w:type="dxa"/>
            <w:gridSpan w:val="2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Penanggung Jawab Rencana Mitigasi :</w:t>
            </w: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Progres :</w:t>
            </w:r>
          </w:p>
        </w:tc>
      </w:tr>
      <w:tr>
        <w:tc>
          <w:tcPr>
            <w:tcW w:w="1558" w:type="dxa"/>
            <w:shd w:val="clear" w:color="auto" w:fill="00B050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B2</w:t>
            </w:r>
          </w:p>
        </w:tc>
        <w:tc>
          <w:tcPr>
            <w:tcW w:w="7792" w:type="dxa"/>
            <w:gridSpan w:val="4"/>
          </w:tcPr>
          <w:p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Level Residual Risk Yang Ditargetkan</w:t>
            </w:r>
          </w:p>
        </w:tc>
      </w:tr>
    </w:tbl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5"/>
        <w:numPr>
          <w:ilvl w:val="0"/>
          <w:numId w:val="1"/>
        </w:numPr>
        <w:ind w:left="810" w:hanging="450"/>
        <w:jc w:val="both"/>
        <w:rPr>
          <w:b/>
        </w:rPr>
      </w:pPr>
      <w:r>
        <w:rPr>
          <w:b/>
          <w:u w:val="single"/>
        </w:rPr>
        <w:t>MATRIKS RISIKO</w:t>
      </w:r>
    </w:p>
    <w:p>
      <w:pPr>
        <w:pStyle w:val="5"/>
        <w:ind w:left="810"/>
        <w:jc w:val="both"/>
        <w:rPr>
          <w:b/>
        </w:rPr>
      </w:pPr>
      <w:r>
        <w:rPr>
          <w:rFonts w:ascii="Arial" w:hAnsi="Arial" w:cs="Arial"/>
          <w:color w:val="000000"/>
          <w:sz w:val="20"/>
          <w:szCs w:val="20"/>
        </w:rPr>
        <w:drawing>
          <wp:inline distT="0" distB="0" distL="0" distR="0">
            <wp:extent cx="4464685" cy="4141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5" t="27567" r="49826" b="7515"/>
                    <a:stretch>
                      <a:fillRect/>
                    </a:stretch>
                  </pic:blipFill>
                  <pic:spPr>
                    <a:xfrm>
                      <a:off x="0" y="0"/>
                      <a:ext cx="4481593" cy="415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810"/>
        <w:jc w:val="both"/>
        <w:rPr>
          <w:b/>
          <w:u w:val="single"/>
        </w:rPr>
      </w:pPr>
    </w:p>
    <w:p>
      <w:pPr>
        <w:pStyle w:val="5"/>
        <w:ind w:left="810"/>
        <w:jc w:val="both"/>
        <w:rPr>
          <w:b/>
        </w:rPr>
      </w:pPr>
    </w:p>
    <w:p>
      <w:pPr>
        <w:pStyle w:val="5"/>
        <w:numPr>
          <w:ilvl w:val="0"/>
          <w:numId w:val="1"/>
        </w:numPr>
        <w:ind w:left="810" w:hanging="450"/>
        <w:jc w:val="both"/>
        <w:rPr>
          <w:b/>
        </w:rPr>
      </w:pPr>
      <w:r>
        <w:rPr>
          <w:b/>
          <w:u w:val="single"/>
        </w:rPr>
        <w:t>KESIMPULAN</w:t>
      </w:r>
    </w:p>
    <w:p>
      <w:pPr>
        <w:ind w:left="720"/>
        <w:jc w:val="both"/>
        <w:rPr>
          <w:sz w:val="20"/>
        </w:rPr>
      </w:pPr>
      <w:r>
        <w:t xml:space="preserve">*) Untuk kesimpulan bisa mengambil dari dashboard atau </w:t>
      </w:r>
      <w:r>
        <w:rPr>
          <w:rFonts w:eastAsia="Times New Roman" w:cs="Arial"/>
          <w:i/>
          <w:lang w:val="id-ID"/>
        </w:rPr>
        <w:t>default</w:t>
      </w:r>
      <w:r>
        <w:rPr>
          <w:rFonts w:eastAsia="Times New Roman" w:cs="Arial"/>
          <w:lang w:val="id-ID"/>
        </w:rPr>
        <w:t xml:space="preserve"> yang dapat di isikan secara manual</w:t>
      </w:r>
    </w:p>
    <w:p>
      <w:pPr>
        <w:jc w:val="both"/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Monospac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JP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86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imSun">
    <w:altName w:val="Monospac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OpenSymbol"/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+mn-ea">
    <w:altName w:val="Abyssinica SIL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Calibri Light">
    <w:altName w:val="DejaVu Sans"/>
    <w:panose1 w:val="020F0302020204030204"/>
    <w:charset w:val="00"/>
    <w:family w:val="decorative"/>
    <w:pitch w:val="default"/>
    <w:sig w:usb0="00000000" w:usb1="00000000" w:usb2="00000000" w:usb3="00000000" w:csb0="0000019F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86484292">
    <w:nsid w:val="1CFF2944"/>
    <w:multiLevelType w:val="multilevel"/>
    <w:tmpl w:val="1CFF2944"/>
    <w:lvl w:ilvl="0" w:tentative="1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50" w:hanging="360"/>
      </w:pPr>
    </w:lvl>
    <w:lvl w:ilvl="2" w:tentative="1">
      <w:start w:val="1"/>
      <w:numFmt w:val="lowerRoman"/>
      <w:lvlText w:val="%3."/>
      <w:lvlJc w:val="right"/>
      <w:pPr>
        <w:ind w:left="2970" w:hanging="180"/>
      </w:pPr>
    </w:lvl>
    <w:lvl w:ilvl="3" w:tentative="1">
      <w:start w:val="1"/>
      <w:numFmt w:val="decimal"/>
      <w:lvlText w:val="%4."/>
      <w:lvlJc w:val="left"/>
      <w:pPr>
        <w:ind w:left="3690" w:hanging="360"/>
      </w:pPr>
    </w:lvl>
    <w:lvl w:ilvl="4" w:tentative="1">
      <w:start w:val="1"/>
      <w:numFmt w:val="lowerLetter"/>
      <w:lvlText w:val="%5."/>
      <w:lvlJc w:val="left"/>
      <w:pPr>
        <w:ind w:left="4410" w:hanging="360"/>
      </w:pPr>
    </w:lvl>
    <w:lvl w:ilvl="5" w:tentative="1">
      <w:start w:val="1"/>
      <w:numFmt w:val="lowerRoman"/>
      <w:lvlText w:val="%6."/>
      <w:lvlJc w:val="right"/>
      <w:pPr>
        <w:ind w:left="5130" w:hanging="180"/>
      </w:pPr>
    </w:lvl>
    <w:lvl w:ilvl="6" w:tentative="1">
      <w:start w:val="1"/>
      <w:numFmt w:val="decimal"/>
      <w:lvlText w:val="%7."/>
      <w:lvlJc w:val="left"/>
      <w:pPr>
        <w:ind w:left="5850" w:hanging="360"/>
      </w:pPr>
    </w:lvl>
    <w:lvl w:ilvl="7" w:tentative="1">
      <w:start w:val="1"/>
      <w:numFmt w:val="lowerLetter"/>
      <w:lvlText w:val="%8."/>
      <w:lvlJc w:val="left"/>
      <w:pPr>
        <w:ind w:left="6570" w:hanging="360"/>
      </w:pPr>
    </w:lvl>
    <w:lvl w:ilvl="8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470825201">
    <w:nsid w:val="57AB02F1"/>
    <w:multiLevelType w:val="multilevel"/>
    <w:tmpl w:val="57AB02F1"/>
    <w:lvl w:ilvl="0" w:tentative="1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90" w:hanging="360"/>
      </w:pPr>
    </w:lvl>
    <w:lvl w:ilvl="2" w:tentative="1">
      <w:start w:val="1"/>
      <w:numFmt w:val="lowerRoman"/>
      <w:lvlText w:val="%3."/>
      <w:lvlJc w:val="right"/>
      <w:pPr>
        <w:ind w:left="2610" w:hanging="180"/>
      </w:pPr>
    </w:lvl>
    <w:lvl w:ilvl="3" w:tentative="1">
      <w:start w:val="1"/>
      <w:numFmt w:val="decimal"/>
      <w:lvlText w:val="%4."/>
      <w:lvlJc w:val="left"/>
      <w:pPr>
        <w:ind w:left="3330" w:hanging="360"/>
      </w:pPr>
    </w:lvl>
    <w:lvl w:ilvl="4" w:tentative="1">
      <w:start w:val="1"/>
      <w:numFmt w:val="lowerLetter"/>
      <w:lvlText w:val="%5."/>
      <w:lvlJc w:val="left"/>
      <w:pPr>
        <w:ind w:left="4050" w:hanging="360"/>
      </w:pPr>
    </w:lvl>
    <w:lvl w:ilvl="5" w:tentative="1">
      <w:start w:val="1"/>
      <w:numFmt w:val="lowerRoman"/>
      <w:lvlText w:val="%6."/>
      <w:lvlJc w:val="right"/>
      <w:pPr>
        <w:ind w:left="4770" w:hanging="180"/>
      </w:pPr>
    </w:lvl>
    <w:lvl w:ilvl="6" w:tentative="1">
      <w:start w:val="1"/>
      <w:numFmt w:val="decimal"/>
      <w:lvlText w:val="%7."/>
      <w:lvlJc w:val="left"/>
      <w:pPr>
        <w:ind w:left="5490" w:hanging="360"/>
      </w:pPr>
    </w:lvl>
    <w:lvl w:ilvl="7" w:tentative="1">
      <w:start w:val="1"/>
      <w:numFmt w:val="lowerLetter"/>
      <w:lvlText w:val="%8."/>
      <w:lvlJc w:val="left"/>
      <w:pPr>
        <w:ind w:left="6210" w:hanging="360"/>
      </w:pPr>
    </w:lvl>
    <w:lvl w:ilvl="8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746875107">
    <w:nsid w:val="681F32E3"/>
    <w:multiLevelType w:val="multilevel"/>
    <w:tmpl w:val="681F32E3"/>
    <w:lvl w:ilvl="0" w:tentative="1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8707224">
    <w:nsid w:val="49D52C18"/>
    <w:multiLevelType w:val="multilevel"/>
    <w:tmpl w:val="49D52C18"/>
    <w:lvl w:ilvl="0" w:tentative="1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90" w:hanging="360"/>
      </w:pPr>
    </w:lvl>
    <w:lvl w:ilvl="2" w:tentative="1">
      <w:start w:val="1"/>
      <w:numFmt w:val="lowerRoman"/>
      <w:lvlText w:val="%3."/>
      <w:lvlJc w:val="right"/>
      <w:pPr>
        <w:ind w:left="2610" w:hanging="180"/>
      </w:pPr>
    </w:lvl>
    <w:lvl w:ilvl="3" w:tentative="1">
      <w:start w:val="1"/>
      <w:numFmt w:val="decimal"/>
      <w:lvlText w:val="%4."/>
      <w:lvlJc w:val="left"/>
      <w:pPr>
        <w:ind w:left="3330" w:hanging="360"/>
      </w:pPr>
    </w:lvl>
    <w:lvl w:ilvl="4" w:tentative="1">
      <w:start w:val="1"/>
      <w:numFmt w:val="lowerLetter"/>
      <w:lvlText w:val="%5."/>
      <w:lvlJc w:val="left"/>
      <w:pPr>
        <w:ind w:left="4050" w:hanging="360"/>
      </w:pPr>
    </w:lvl>
    <w:lvl w:ilvl="5" w:tentative="1">
      <w:start w:val="1"/>
      <w:numFmt w:val="lowerRoman"/>
      <w:lvlText w:val="%6."/>
      <w:lvlJc w:val="right"/>
      <w:pPr>
        <w:ind w:left="4770" w:hanging="180"/>
      </w:pPr>
    </w:lvl>
    <w:lvl w:ilvl="6" w:tentative="1">
      <w:start w:val="1"/>
      <w:numFmt w:val="decimal"/>
      <w:lvlText w:val="%7."/>
      <w:lvlJc w:val="left"/>
      <w:pPr>
        <w:ind w:left="5490" w:hanging="360"/>
      </w:pPr>
    </w:lvl>
    <w:lvl w:ilvl="7" w:tentative="1">
      <w:start w:val="1"/>
      <w:numFmt w:val="lowerLetter"/>
      <w:lvlText w:val="%8."/>
      <w:lvlJc w:val="left"/>
      <w:pPr>
        <w:ind w:left="6210" w:hanging="360"/>
      </w:pPr>
    </w:lvl>
    <w:lvl w:ilvl="8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350837527">
    <w:nsid w:val="50842517"/>
    <w:multiLevelType w:val="multilevel"/>
    <w:tmpl w:val="50842517"/>
    <w:lvl w:ilvl="0" w:tentative="1">
      <w:start w:val="1"/>
      <w:numFmt w:val="lowerLetter"/>
      <w:lvlText w:val="%1."/>
      <w:lvlJc w:val="left"/>
      <w:pPr>
        <w:ind w:left="3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114" w:hanging="360"/>
      </w:pPr>
    </w:lvl>
    <w:lvl w:ilvl="2" w:tentative="1">
      <w:start w:val="1"/>
      <w:numFmt w:val="lowerRoman"/>
      <w:lvlText w:val="%3."/>
      <w:lvlJc w:val="right"/>
      <w:pPr>
        <w:ind w:left="1834" w:hanging="180"/>
      </w:pPr>
    </w:lvl>
    <w:lvl w:ilvl="3" w:tentative="1">
      <w:start w:val="1"/>
      <w:numFmt w:val="decimal"/>
      <w:lvlText w:val="%4."/>
      <w:lvlJc w:val="left"/>
      <w:pPr>
        <w:ind w:left="2554" w:hanging="360"/>
      </w:pPr>
    </w:lvl>
    <w:lvl w:ilvl="4" w:tentative="1">
      <w:start w:val="1"/>
      <w:numFmt w:val="lowerLetter"/>
      <w:lvlText w:val="%5."/>
      <w:lvlJc w:val="left"/>
      <w:pPr>
        <w:ind w:left="3274" w:hanging="360"/>
      </w:pPr>
    </w:lvl>
    <w:lvl w:ilvl="5" w:tentative="1">
      <w:start w:val="1"/>
      <w:numFmt w:val="lowerRoman"/>
      <w:lvlText w:val="%6."/>
      <w:lvlJc w:val="right"/>
      <w:pPr>
        <w:ind w:left="3994" w:hanging="180"/>
      </w:pPr>
    </w:lvl>
    <w:lvl w:ilvl="6" w:tentative="1">
      <w:start w:val="1"/>
      <w:numFmt w:val="decimal"/>
      <w:lvlText w:val="%7."/>
      <w:lvlJc w:val="left"/>
      <w:pPr>
        <w:ind w:left="4714" w:hanging="360"/>
      </w:pPr>
    </w:lvl>
    <w:lvl w:ilvl="7" w:tentative="1">
      <w:start w:val="1"/>
      <w:numFmt w:val="lowerLetter"/>
      <w:lvlText w:val="%8."/>
      <w:lvlJc w:val="left"/>
      <w:pPr>
        <w:ind w:left="5434" w:hanging="360"/>
      </w:pPr>
    </w:lvl>
    <w:lvl w:ilvl="8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682857256">
    <w:nsid w:val="644E5D28"/>
    <w:multiLevelType w:val="multilevel"/>
    <w:tmpl w:val="644E5D28"/>
    <w:lvl w:ilvl="0" w:tentative="1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46875107"/>
  </w:num>
  <w:num w:numId="2">
    <w:abstractNumId w:val="1470825201"/>
  </w:num>
  <w:num w:numId="3">
    <w:abstractNumId w:val="486484292"/>
  </w:num>
  <w:num w:numId="4">
    <w:abstractNumId w:val="1238707224"/>
  </w:num>
  <w:num w:numId="5">
    <w:abstractNumId w:val="1682857256"/>
  </w:num>
  <w:num w:numId="6">
    <w:abstractNumId w:val="13508375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D93"/>
    <w:rsid w:val="000071BA"/>
    <w:rsid w:val="00080628"/>
    <w:rsid w:val="000A6879"/>
    <w:rsid w:val="00100F59"/>
    <w:rsid w:val="001376D7"/>
    <w:rsid w:val="0014474A"/>
    <w:rsid w:val="0014523E"/>
    <w:rsid w:val="001770D7"/>
    <w:rsid w:val="001D0F6F"/>
    <w:rsid w:val="00216DB3"/>
    <w:rsid w:val="00224391"/>
    <w:rsid w:val="00266A28"/>
    <w:rsid w:val="002844FC"/>
    <w:rsid w:val="0035495B"/>
    <w:rsid w:val="00373D93"/>
    <w:rsid w:val="00402184"/>
    <w:rsid w:val="0041380E"/>
    <w:rsid w:val="00422CEA"/>
    <w:rsid w:val="00431281"/>
    <w:rsid w:val="00433AAA"/>
    <w:rsid w:val="004B6CEA"/>
    <w:rsid w:val="004C56F7"/>
    <w:rsid w:val="004D4FF2"/>
    <w:rsid w:val="004E657F"/>
    <w:rsid w:val="0050240C"/>
    <w:rsid w:val="0053032C"/>
    <w:rsid w:val="00541F36"/>
    <w:rsid w:val="00591235"/>
    <w:rsid w:val="00692EF5"/>
    <w:rsid w:val="006D0218"/>
    <w:rsid w:val="00765DE1"/>
    <w:rsid w:val="007B7C70"/>
    <w:rsid w:val="008670D6"/>
    <w:rsid w:val="0089435F"/>
    <w:rsid w:val="0096278B"/>
    <w:rsid w:val="00967045"/>
    <w:rsid w:val="00A20E63"/>
    <w:rsid w:val="00A34DD0"/>
    <w:rsid w:val="00A50442"/>
    <w:rsid w:val="00A6072F"/>
    <w:rsid w:val="00A62ACE"/>
    <w:rsid w:val="00A9093C"/>
    <w:rsid w:val="00AB7BEF"/>
    <w:rsid w:val="00AD6D1E"/>
    <w:rsid w:val="00AD7C57"/>
    <w:rsid w:val="00B3715E"/>
    <w:rsid w:val="00B90B9E"/>
    <w:rsid w:val="00C720EB"/>
    <w:rsid w:val="00C82534"/>
    <w:rsid w:val="00CD3F6B"/>
    <w:rsid w:val="00CF48AB"/>
    <w:rsid w:val="00DB7B3D"/>
    <w:rsid w:val="00DD7F4A"/>
    <w:rsid w:val="00DF42FB"/>
    <w:rsid w:val="00E21267"/>
    <w:rsid w:val="00E6305F"/>
    <w:rsid w:val="00EA6091"/>
    <w:rsid w:val="00EE4E8B"/>
    <w:rsid w:val="00FB6F79"/>
    <w:rsid w:val="00FF21A6"/>
    <w:rsid w:val="E91F00D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List Paragraph"/>
    <w:basedOn w:val="1"/>
    <w:link w:val="6"/>
    <w:qFormat/>
    <w:uiPriority w:val="0"/>
    <w:pPr>
      <w:ind w:left="720"/>
      <w:contextualSpacing/>
    </w:pPr>
  </w:style>
  <w:style w:type="character" w:customStyle="1" w:styleId="6">
    <w:name w:val="List Paragraph Char"/>
    <w:link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1958</Words>
  <Characters>11166</Characters>
  <Lines>93</Lines>
  <Paragraphs>26</Paragraphs>
  <TotalTime>0</TotalTime>
  <ScaleCrop>false</ScaleCrop>
  <LinksUpToDate>false</LinksUpToDate>
  <CharactersWithSpaces>13098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2018-04-06T13:47:00Z</dcterms:created>
  <dc:creator>PJBS</dc:creator>
  <cp:lastModifiedBy>solikul</cp:lastModifiedBy>
  <dcterms:modified xsi:type="dcterms:W3CDTF">2018-06-07T15:25:45Z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