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2EBD" w14:textId="111958BB" w:rsidR="00DC56A1" w:rsidRDefault="00E2629E">
      <w:pPr>
        <w:rPr>
          <w:lang w:val="en-GB"/>
        </w:rPr>
      </w:pPr>
      <w:r w:rsidRPr="00E2629E">
        <w:rPr>
          <w:lang w:val="en-GB"/>
        </w:rPr>
        <w:t>Sweden’s electricity market is fractured. Price differences across the four bidding zones (SE1–SE4) widened sharply in the early 2020s. In 2025, the Swedish Government</w:t>
      </w:r>
      <w:r>
        <w:rPr>
          <w:lang w:val="en-GB"/>
        </w:rPr>
        <w:t xml:space="preserve"> (</w:t>
      </w:r>
      <w:hyperlink r:id="rId5" w:history="1">
        <w:r w:rsidRPr="00854279">
          <w:rPr>
            <w:rStyle w:val="Hyperlnk"/>
            <w:lang w:val="en-GB"/>
          </w:rPr>
          <w:t>https://www.regeringen.se/pressmeddelanden/2025/05/svenska-kraftnat-far-i-uppdrag-att-gora-en-fornyad-analys-av-sveriges-elomradesindelning/</w:t>
        </w:r>
      </w:hyperlink>
      <w:r>
        <w:rPr>
          <w:lang w:val="en-GB"/>
        </w:rPr>
        <w:t xml:space="preserve">) </w:t>
      </w:r>
      <w:r w:rsidRPr="00E2629E">
        <w:rPr>
          <w:lang w:val="en-GB"/>
        </w:rPr>
        <w:t xml:space="preserve">tasked Svenska </w:t>
      </w:r>
      <w:proofErr w:type="spellStart"/>
      <w:r w:rsidRPr="00E2629E">
        <w:rPr>
          <w:lang w:val="en-GB"/>
        </w:rPr>
        <w:t>kraftnät</w:t>
      </w:r>
      <w:proofErr w:type="spellEnd"/>
      <w:r w:rsidRPr="00E2629E">
        <w:rPr>
          <w:lang w:val="en-GB"/>
        </w:rPr>
        <w:t xml:space="preserve"> </w:t>
      </w:r>
      <w:r>
        <w:rPr>
          <w:lang w:val="en-GB"/>
        </w:rPr>
        <w:t>(</w:t>
      </w:r>
      <w:hyperlink r:id="rId6" w:history="1">
        <w:r w:rsidRPr="00854279">
          <w:rPr>
            <w:rStyle w:val="Hyperlnk"/>
            <w:lang w:val="en-GB"/>
          </w:rPr>
          <w:t>https://www.svk.se/utveckling-av-kraftsystemet/systemansvar--</w:t>
        </w:r>
        <w:proofErr w:type="spellStart"/>
        <w:r w:rsidRPr="00854279">
          <w:rPr>
            <w:rStyle w:val="Hyperlnk"/>
            <w:lang w:val="en-GB"/>
          </w:rPr>
          <w:t>elmarknad</w:t>
        </w:r>
        <w:proofErr w:type="spellEnd"/>
        <w:r w:rsidRPr="00854279">
          <w:rPr>
            <w:rStyle w:val="Hyperlnk"/>
            <w:lang w:val="en-GB"/>
          </w:rPr>
          <w:t>/</w:t>
        </w:r>
        <w:proofErr w:type="spellStart"/>
        <w:r w:rsidRPr="00854279">
          <w:rPr>
            <w:rStyle w:val="Hyperlnk"/>
            <w:lang w:val="en-GB"/>
          </w:rPr>
          <w:t>analysavelomraden</w:t>
        </w:r>
        <w:proofErr w:type="spellEnd"/>
        <w:r w:rsidRPr="00854279">
          <w:rPr>
            <w:rStyle w:val="Hyperlnk"/>
            <w:lang w:val="en-GB"/>
          </w:rPr>
          <w:t>/</w:t>
        </w:r>
      </w:hyperlink>
      <w:r>
        <w:rPr>
          <w:lang w:val="en-GB"/>
        </w:rPr>
        <w:t xml:space="preserve">) </w:t>
      </w:r>
      <w:r w:rsidRPr="00E2629E">
        <w:rPr>
          <w:lang w:val="en-GB"/>
        </w:rPr>
        <w:t>with reassessing the bidding zone configuration, including alternatives with fewer zones and a single national price area, with forward looking evaluations aimed at 2030 and 2035.</w:t>
      </w:r>
      <w:r>
        <w:rPr>
          <w:lang w:val="en-GB"/>
        </w:rPr>
        <w:br/>
      </w:r>
      <w:r>
        <w:rPr>
          <w:lang w:val="en-GB"/>
        </w:rPr>
        <w:br/>
      </w:r>
      <w:r w:rsidRPr="00E2629E">
        <w:rPr>
          <w:lang w:val="en-GB"/>
        </w:rPr>
        <w:t xml:space="preserve">This policy debate cannot be resolved by plotting average price spreads alone. It requires evidence on the mechanisms that generate them. We therefore estimate, separately for each bidding zone, the conditional within zone merit order effect of wind on day ahead prices from 2015 to 2025 using a multivariate price model with standard market controls. Concretely, our coefficient answers a mechanism question: when wind production </w:t>
      </w:r>
      <w:proofErr w:type="gramStart"/>
      <w:r w:rsidRPr="00E2629E">
        <w:rPr>
          <w:lang w:val="en-GB"/>
        </w:rPr>
        <w:t>in a given</w:t>
      </w:r>
      <w:proofErr w:type="gramEnd"/>
      <w:r w:rsidRPr="00E2629E">
        <w:rPr>
          <w:lang w:val="en-GB"/>
        </w:rPr>
        <w:t xml:space="preserve"> zone is higher than usual, does that zone’s day ahead price fall a lot, a little, or not at all, holding other drivers fixed, and has that sensitivity changed over time.</w:t>
      </w:r>
      <w:r>
        <w:rPr>
          <w:lang w:val="en-GB"/>
        </w:rPr>
        <w:t xml:space="preserve"> </w:t>
      </w:r>
      <w:r w:rsidRPr="00E2629E">
        <w:rPr>
          <w:lang w:val="en-GB"/>
        </w:rPr>
        <w:t>This is directly relevant for the “one price area” discussion because bidding zones exist precisely when the true marginal value of electricity differs across locations due to binding transmission constraints and or strong external price linkage. A single national price area is most defensible when price formation is broadly similar across the country, meaning local supply shocks are priced in similar ways across zones. Persistent differences in zone level wind–price sensitivities indicate more heterogeneous price formation, which is evidence against treating Sweden as a single integrated price area without major complementary grid changes. Convergence in these sensitivities would point in the opposite direction, suggesting more uniform price formation that could make fewer zones more plausible.</w:t>
      </w:r>
    </w:p>
    <w:p w14:paraId="7964B7BE" w14:textId="77777777" w:rsidR="002B55BC" w:rsidRPr="002B55BC" w:rsidRDefault="002B55BC" w:rsidP="002B55BC">
      <w:r w:rsidRPr="002B55BC">
        <w:rPr>
          <w:lang w:val="en-GB"/>
        </w:rPr>
        <w:t xml:space="preserve">Most existing studies for Sweden estimate wind effects over short samples or treat the relationship as stable within a chosen period. </w:t>
      </w:r>
      <w:proofErr w:type="spellStart"/>
      <w:r w:rsidRPr="002B55BC">
        <w:t>Using</w:t>
      </w:r>
      <w:proofErr w:type="spellEnd"/>
      <w:r w:rsidRPr="002B55BC">
        <w:t xml:space="preserve"> a </w:t>
      </w:r>
      <w:proofErr w:type="spellStart"/>
      <w:r w:rsidRPr="002B55BC">
        <w:t>decade</w:t>
      </w:r>
      <w:proofErr w:type="spellEnd"/>
      <w:r w:rsidRPr="002B55BC">
        <w:t xml:space="preserve"> </w:t>
      </w:r>
      <w:proofErr w:type="spellStart"/>
      <w:r w:rsidRPr="002B55BC">
        <w:t>of</w:t>
      </w:r>
      <w:proofErr w:type="spellEnd"/>
      <w:r w:rsidRPr="002B55BC">
        <w:t xml:space="preserve"> data </w:t>
      </w:r>
      <w:proofErr w:type="spellStart"/>
      <w:r w:rsidRPr="002B55BC">
        <w:t>lets</w:t>
      </w:r>
      <w:proofErr w:type="spellEnd"/>
      <w:r w:rsidRPr="002B55BC">
        <w:t xml:space="preserve"> </w:t>
      </w:r>
      <w:proofErr w:type="spellStart"/>
      <w:r w:rsidRPr="002B55BC">
        <w:t>us</w:t>
      </w:r>
      <w:proofErr w:type="spellEnd"/>
      <w:r w:rsidRPr="002B55BC">
        <w:t>:</w:t>
      </w:r>
    </w:p>
    <w:p w14:paraId="27E9E0AC" w14:textId="77777777" w:rsidR="002B55BC" w:rsidRPr="002B55BC" w:rsidRDefault="002B55BC" w:rsidP="002B55BC">
      <w:pPr>
        <w:numPr>
          <w:ilvl w:val="0"/>
          <w:numId w:val="1"/>
        </w:numPr>
        <w:rPr>
          <w:lang w:val="en-GB"/>
        </w:rPr>
      </w:pPr>
      <w:r w:rsidRPr="002B55BC">
        <w:rPr>
          <w:lang w:val="en-GB"/>
        </w:rPr>
        <w:t>Trace time variation in the wind–price relationship within each zone</w:t>
      </w:r>
    </w:p>
    <w:p w14:paraId="525CE8A5" w14:textId="77777777" w:rsidR="002B55BC" w:rsidRPr="002B55BC" w:rsidRDefault="002B55BC" w:rsidP="002B55BC">
      <w:pPr>
        <w:numPr>
          <w:ilvl w:val="0"/>
          <w:numId w:val="1"/>
        </w:numPr>
        <w:rPr>
          <w:lang w:val="en-GB"/>
        </w:rPr>
      </w:pPr>
      <w:r w:rsidRPr="002B55BC">
        <w:rPr>
          <w:lang w:val="en-GB"/>
        </w:rPr>
        <w:t>Test for structural breaks, including whether the 2021–2023 crisis years shifted the relationship</w:t>
      </w:r>
    </w:p>
    <w:p w14:paraId="1146264B" w14:textId="17F62DD6" w:rsidR="002B55BC" w:rsidRPr="002B55BC" w:rsidRDefault="002B55BC" w:rsidP="002B55BC">
      <w:pPr>
        <w:numPr>
          <w:ilvl w:val="0"/>
          <w:numId w:val="1"/>
        </w:numPr>
        <w:rPr>
          <w:lang w:val="en-GB"/>
        </w:rPr>
      </w:pPr>
      <w:r w:rsidRPr="002B55BC">
        <w:rPr>
          <w:lang w:val="en-GB"/>
        </w:rPr>
        <w:t xml:space="preserve">Form transparent, </w:t>
      </w:r>
      <w:proofErr w:type="gramStart"/>
      <w:r w:rsidRPr="002B55BC">
        <w:rPr>
          <w:lang w:val="en-GB"/>
        </w:rPr>
        <w:t>scenario based</w:t>
      </w:r>
      <w:proofErr w:type="gramEnd"/>
      <w:r w:rsidRPr="002B55BC">
        <w:rPr>
          <w:lang w:val="en-GB"/>
        </w:rPr>
        <w:t xml:space="preserve"> hypotheses about whether wind–price sensitivities are likely to continue converging or diverging toward 2030 and 2035, aligning our empirical evidence with the time horizons in Svenska </w:t>
      </w:r>
      <w:proofErr w:type="spellStart"/>
      <w:r w:rsidRPr="002B55BC">
        <w:rPr>
          <w:lang w:val="en-GB"/>
        </w:rPr>
        <w:t>kraftnät’s</w:t>
      </w:r>
      <w:proofErr w:type="spellEnd"/>
      <w:r w:rsidRPr="002B55BC">
        <w:rPr>
          <w:lang w:val="en-GB"/>
        </w:rPr>
        <w:t xml:space="preserve"> ongoing review</w:t>
      </w:r>
    </w:p>
    <w:p w14:paraId="3335410C" w14:textId="079043B0" w:rsidR="002B55BC" w:rsidRPr="002B55BC" w:rsidRDefault="002B55BC">
      <w:pPr>
        <w:rPr>
          <w:lang w:val="en-GB"/>
        </w:rPr>
      </w:pPr>
      <w:r w:rsidRPr="002B55BC">
        <w:rPr>
          <w:lang w:val="en-GB"/>
        </w:rPr>
        <w:t>We provide updated zone-level merit order estimates for Sweden, show that the wind–price relationship is not time-invariant under rapid wind expansion and crisis periods, and offer evidence that is directly relevant for the ongoing bidding-zone reform discussion with a forward-looking lens toward 2030 and 2035.</w:t>
      </w:r>
    </w:p>
    <w:sectPr w:rsidR="002B55BC" w:rsidRPr="002B55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045C"/>
    <w:multiLevelType w:val="multilevel"/>
    <w:tmpl w:val="D52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65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29E"/>
    <w:rsid w:val="002B55BC"/>
    <w:rsid w:val="006D2319"/>
    <w:rsid w:val="007176EC"/>
    <w:rsid w:val="00D300CB"/>
    <w:rsid w:val="00D87657"/>
    <w:rsid w:val="00DC56A1"/>
    <w:rsid w:val="00E2629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4B16"/>
  <w15:chartTrackingRefBased/>
  <w15:docId w15:val="{0B90581A-269D-48D9-BE1D-B03CA5AE0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26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26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2629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2629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2629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2629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2629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2629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2629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2629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2629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2629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2629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2629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2629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2629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2629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2629E"/>
    <w:rPr>
      <w:rFonts w:eastAsiaTheme="majorEastAsia" w:cstheme="majorBidi"/>
      <w:color w:val="272727" w:themeColor="text1" w:themeTint="D8"/>
    </w:rPr>
  </w:style>
  <w:style w:type="paragraph" w:styleId="Rubrik">
    <w:name w:val="Title"/>
    <w:basedOn w:val="Normal"/>
    <w:next w:val="Normal"/>
    <w:link w:val="RubrikChar"/>
    <w:uiPriority w:val="10"/>
    <w:qFormat/>
    <w:rsid w:val="00E26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2629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2629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2629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2629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2629E"/>
    <w:rPr>
      <w:i/>
      <w:iCs/>
      <w:color w:val="404040" w:themeColor="text1" w:themeTint="BF"/>
    </w:rPr>
  </w:style>
  <w:style w:type="paragraph" w:styleId="Liststycke">
    <w:name w:val="List Paragraph"/>
    <w:basedOn w:val="Normal"/>
    <w:uiPriority w:val="34"/>
    <w:qFormat/>
    <w:rsid w:val="00E2629E"/>
    <w:pPr>
      <w:ind w:left="720"/>
      <w:contextualSpacing/>
    </w:pPr>
  </w:style>
  <w:style w:type="character" w:styleId="Starkbetoning">
    <w:name w:val="Intense Emphasis"/>
    <w:basedOn w:val="Standardstycketeckensnitt"/>
    <w:uiPriority w:val="21"/>
    <w:qFormat/>
    <w:rsid w:val="00E2629E"/>
    <w:rPr>
      <w:i/>
      <w:iCs/>
      <w:color w:val="0F4761" w:themeColor="accent1" w:themeShade="BF"/>
    </w:rPr>
  </w:style>
  <w:style w:type="paragraph" w:styleId="Starktcitat">
    <w:name w:val="Intense Quote"/>
    <w:basedOn w:val="Normal"/>
    <w:next w:val="Normal"/>
    <w:link w:val="StarktcitatChar"/>
    <w:uiPriority w:val="30"/>
    <w:qFormat/>
    <w:rsid w:val="00E26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2629E"/>
    <w:rPr>
      <w:i/>
      <w:iCs/>
      <w:color w:val="0F4761" w:themeColor="accent1" w:themeShade="BF"/>
    </w:rPr>
  </w:style>
  <w:style w:type="character" w:styleId="Starkreferens">
    <w:name w:val="Intense Reference"/>
    <w:basedOn w:val="Standardstycketeckensnitt"/>
    <w:uiPriority w:val="32"/>
    <w:qFormat/>
    <w:rsid w:val="00E2629E"/>
    <w:rPr>
      <w:b/>
      <w:bCs/>
      <w:smallCaps/>
      <w:color w:val="0F4761" w:themeColor="accent1" w:themeShade="BF"/>
      <w:spacing w:val="5"/>
    </w:rPr>
  </w:style>
  <w:style w:type="character" w:styleId="Hyperlnk">
    <w:name w:val="Hyperlink"/>
    <w:basedOn w:val="Standardstycketeckensnitt"/>
    <w:uiPriority w:val="99"/>
    <w:unhideWhenUsed/>
    <w:rsid w:val="00E2629E"/>
    <w:rPr>
      <w:color w:val="467886" w:themeColor="hyperlink"/>
      <w:u w:val="single"/>
    </w:rPr>
  </w:style>
  <w:style w:type="character" w:styleId="Olstomnmnande">
    <w:name w:val="Unresolved Mention"/>
    <w:basedOn w:val="Standardstycketeckensnitt"/>
    <w:uiPriority w:val="99"/>
    <w:semiHidden/>
    <w:unhideWhenUsed/>
    <w:rsid w:val="00E26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vk.se/utveckling-av-kraftsystemet/systemansvar--elmarknad/analysavelomraden/" TargetMode="External"/><Relationship Id="rId5" Type="http://schemas.openxmlformats.org/officeDocument/2006/relationships/hyperlink" Target="https://www.regeringen.se/pressmeddelanden/2025/05/svenska-kraftnat-far-i-uppdrag-att-gora-en-fornyad-analys-av-sveriges-elomradesindel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504</Words>
  <Characters>2672</Characters>
  <Application>Microsoft Office Word</Application>
  <DocSecurity>0</DocSecurity>
  <Lines>22</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Valter Strandler</dc:creator>
  <cp:keywords/>
  <dc:description/>
  <cp:lastModifiedBy>Valter Strandler</cp:lastModifiedBy>
  <cp:revision>1</cp:revision>
  <dcterms:created xsi:type="dcterms:W3CDTF">2026-02-20T08:31:00Z</dcterms:created>
  <dcterms:modified xsi:type="dcterms:W3CDTF">2026-02-21T09:23:00Z</dcterms:modified>
</cp:coreProperties>
</file>