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2CC5D" w14:textId="4D75E61A" w:rsidR="001338B8" w:rsidRPr="001338B8" w:rsidRDefault="001338B8" w:rsidP="001338B8">
      <w:pPr>
        <w:rPr>
          <w:lang w:val="en-GB"/>
        </w:rPr>
      </w:pPr>
      <w:r w:rsidRPr="00404634">
        <w:rPr>
          <w:lang w:val="en-GB"/>
        </w:rPr>
        <w:t>The Swedish Government (</w:t>
      </w:r>
      <w:proofErr w:type="spellStart"/>
      <w:r w:rsidRPr="00404634">
        <w:rPr>
          <w:lang w:val="en-GB"/>
        </w:rPr>
        <w:t>Regeringskansliet</w:t>
      </w:r>
      <w:proofErr w:type="spellEnd"/>
      <w:r w:rsidRPr="00404634">
        <w:rPr>
          <w:lang w:val="en-GB"/>
        </w:rPr>
        <w:t xml:space="preserve">) </w:t>
      </w:r>
      <w:r>
        <w:rPr>
          <w:lang w:val="en-GB"/>
        </w:rPr>
        <w:t>(</w:t>
      </w:r>
      <w:hyperlink r:id="rId5" w:history="1">
        <w:r w:rsidRPr="00854279">
          <w:rPr>
            <w:rStyle w:val="Hyperlnk"/>
            <w:lang w:val="en-GB"/>
          </w:rPr>
          <w:t>https://www.regeringen.se/pressmeddelanden/2025/05/svenska-kraftnat-far-i-uppdrag-att-gora-en-fornyad-analys-av-sveriges-elomradesindelning/</w:t>
        </w:r>
      </w:hyperlink>
      <w:r>
        <w:rPr>
          <w:lang w:val="en-GB"/>
        </w:rPr>
        <w:t xml:space="preserve"> ) </w:t>
      </w:r>
      <w:r w:rsidRPr="00404634">
        <w:rPr>
          <w:lang w:val="en-GB"/>
        </w:rPr>
        <w:t xml:space="preserve">has tasked Svenska </w:t>
      </w:r>
      <w:proofErr w:type="spellStart"/>
      <w:r w:rsidRPr="00404634">
        <w:rPr>
          <w:lang w:val="en-GB"/>
        </w:rPr>
        <w:t>kraftnät</w:t>
      </w:r>
      <w:proofErr w:type="spellEnd"/>
      <w:r w:rsidRPr="00404634">
        <w:rPr>
          <w:lang w:val="en-GB"/>
        </w:rPr>
        <w:t xml:space="preserve"> </w:t>
      </w:r>
      <w:r>
        <w:rPr>
          <w:lang w:val="en-GB"/>
        </w:rPr>
        <w:t>(</w:t>
      </w:r>
      <w:hyperlink r:id="rId6" w:history="1">
        <w:r w:rsidRPr="00854279">
          <w:rPr>
            <w:rStyle w:val="Hyperlnk"/>
            <w:lang w:val="en-GB"/>
          </w:rPr>
          <w:t>https://www.svk.se/utveckling-av-kraftsystemet/systemansvar--</w:t>
        </w:r>
        <w:proofErr w:type="spellStart"/>
        <w:r w:rsidRPr="00854279">
          <w:rPr>
            <w:rStyle w:val="Hyperlnk"/>
            <w:lang w:val="en-GB"/>
          </w:rPr>
          <w:t>elmarknad</w:t>
        </w:r>
        <w:proofErr w:type="spellEnd"/>
        <w:r w:rsidRPr="00854279">
          <w:rPr>
            <w:rStyle w:val="Hyperlnk"/>
            <w:lang w:val="en-GB"/>
          </w:rPr>
          <w:t>/</w:t>
        </w:r>
        <w:proofErr w:type="spellStart"/>
        <w:r w:rsidRPr="00854279">
          <w:rPr>
            <w:rStyle w:val="Hyperlnk"/>
            <w:lang w:val="en-GB"/>
          </w:rPr>
          <w:t>analysavelomraden</w:t>
        </w:r>
        <w:proofErr w:type="spellEnd"/>
        <w:r w:rsidRPr="00854279">
          <w:rPr>
            <w:rStyle w:val="Hyperlnk"/>
            <w:lang w:val="en-GB"/>
          </w:rPr>
          <w:t>/</w:t>
        </w:r>
      </w:hyperlink>
      <w:r>
        <w:rPr>
          <w:lang w:val="en-GB"/>
        </w:rPr>
        <w:t xml:space="preserve">) </w:t>
      </w:r>
      <w:r w:rsidRPr="001338B8">
        <w:rPr>
          <w:lang w:val="en-GB"/>
        </w:rPr>
        <w:t xml:space="preserve">with analysing whether Sweden’s current bidding zone configuration should be changed, including alternatives such as fewer zones or a single national price area, motivated by persistent price differences between areas. Svenska </w:t>
      </w:r>
      <w:proofErr w:type="spellStart"/>
      <w:r w:rsidRPr="001338B8">
        <w:rPr>
          <w:lang w:val="en-GB"/>
        </w:rPr>
        <w:t>kraftnät</w:t>
      </w:r>
      <w:proofErr w:type="spellEnd"/>
      <w:r w:rsidRPr="001338B8">
        <w:rPr>
          <w:lang w:val="en-GB"/>
        </w:rPr>
        <w:t xml:space="preserve"> is responsible for producing the analytical basis for this decision, and the assessment is still ongoing, meaning no final conclusions have been delivered yet. Importantly, the Government’s assignment is explicitly forward looking, since Svenska </w:t>
      </w:r>
      <w:proofErr w:type="spellStart"/>
      <w:r w:rsidRPr="001338B8">
        <w:rPr>
          <w:lang w:val="en-GB"/>
        </w:rPr>
        <w:t>kraftnät</w:t>
      </w:r>
      <w:proofErr w:type="spellEnd"/>
      <w:r w:rsidRPr="001338B8">
        <w:rPr>
          <w:lang w:val="en-GB"/>
        </w:rPr>
        <w:t xml:space="preserve"> is asked to assess alternative zone designs for future system years such as 2030 and 2035, rather than only describing today’s market.</w:t>
      </w:r>
    </w:p>
    <w:p w14:paraId="30A6D105" w14:textId="77777777" w:rsidR="001338B8" w:rsidRPr="001338B8" w:rsidRDefault="001338B8" w:rsidP="001338B8">
      <w:pPr>
        <w:rPr>
          <w:lang w:val="en-GB"/>
        </w:rPr>
      </w:pPr>
      <w:r w:rsidRPr="001338B8">
        <w:rPr>
          <w:lang w:val="en-GB"/>
        </w:rPr>
        <w:t xml:space="preserve">You are right to challenge that sentence. Your output is not directly “can the market transmit wind into lower prices” in a physical engineering sense, and it is also not a direct estimate of how wind in one zone affects prices in another. What you </w:t>
      </w:r>
      <w:proofErr w:type="gramStart"/>
      <w:r w:rsidRPr="001338B8">
        <w:rPr>
          <w:lang w:val="en-GB"/>
        </w:rPr>
        <w:t>actually have</w:t>
      </w:r>
      <w:proofErr w:type="gramEnd"/>
      <w:r w:rsidRPr="001338B8">
        <w:rPr>
          <w:lang w:val="en-GB"/>
        </w:rPr>
        <w:t xml:space="preserve"> is a time series of conditional within zone marginal relationships: how much the day ahead price in SE1, SE2, SE3, SE4 tends to move when wind production (or wind forecast) in the same zone moves, holding your controls fixed, and how that relationship changes across years. That is the honest object.</w:t>
      </w:r>
    </w:p>
    <w:p w14:paraId="0AAD805D" w14:textId="77777777" w:rsidR="001338B8" w:rsidRPr="001338B8" w:rsidRDefault="001338B8" w:rsidP="001338B8">
      <w:pPr>
        <w:rPr>
          <w:lang w:val="en-GB"/>
        </w:rPr>
      </w:pPr>
      <w:r w:rsidRPr="001338B8">
        <w:rPr>
          <w:lang w:val="en-GB"/>
        </w:rPr>
        <w:t xml:space="preserve">Now the key step </w:t>
      </w:r>
      <w:proofErr w:type="gramStart"/>
      <w:r w:rsidRPr="001338B8">
        <w:rPr>
          <w:lang w:val="en-GB"/>
        </w:rPr>
        <w:t>is:</w:t>
      </w:r>
      <w:proofErr w:type="gramEnd"/>
      <w:r w:rsidRPr="001338B8">
        <w:rPr>
          <w:lang w:val="en-GB"/>
        </w:rPr>
        <w:t xml:space="preserve"> why would a policymaker care about that object, as opposed to just caring about the level difference SE4 minus SE1.</w:t>
      </w:r>
    </w:p>
    <w:p w14:paraId="3D223791" w14:textId="77777777" w:rsidR="001338B8" w:rsidRPr="001338B8" w:rsidRDefault="001338B8" w:rsidP="001338B8">
      <w:pPr>
        <w:rPr>
          <w:b/>
          <w:bCs/>
          <w:lang w:val="en-GB"/>
        </w:rPr>
      </w:pPr>
      <w:r w:rsidRPr="001338B8">
        <w:rPr>
          <w:b/>
          <w:bCs/>
          <w:lang w:val="en-GB"/>
        </w:rPr>
        <w:t>1) Zone price levels answer “who pays more”</w:t>
      </w:r>
    </w:p>
    <w:p w14:paraId="64BA8FF6" w14:textId="77777777" w:rsidR="001338B8" w:rsidRPr="001338B8" w:rsidRDefault="001338B8" w:rsidP="001338B8">
      <w:pPr>
        <w:rPr>
          <w:lang w:val="en-GB"/>
        </w:rPr>
      </w:pPr>
      <w:r w:rsidRPr="001338B8">
        <w:rPr>
          <w:lang w:val="en-GB"/>
        </w:rPr>
        <w:t>A chart of SE4 being usually more expensive than SE1 tells you a distributional fact: who tends to face higher prices. It says almost nothing about mechanisms, and therefore it says very little about what interventions would change those spreads.</w:t>
      </w:r>
    </w:p>
    <w:p w14:paraId="6431CBD9" w14:textId="77777777" w:rsidR="001338B8" w:rsidRPr="001338B8" w:rsidRDefault="001338B8" w:rsidP="001338B8">
      <w:pPr>
        <w:rPr>
          <w:lang w:val="en-GB"/>
        </w:rPr>
      </w:pPr>
      <w:r w:rsidRPr="001338B8">
        <w:rPr>
          <w:lang w:val="en-GB"/>
        </w:rPr>
        <w:t xml:space="preserve">If the government </w:t>
      </w:r>
      <w:proofErr w:type="gramStart"/>
      <w:r w:rsidRPr="001338B8">
        <w:rPr>
          <w:lang w:val="en-GB"/>
        </w:rPr>
        <w:t>says</w:t>
      </w:r>
      <w:proofErr w:type="gramEnd"/>
      <w:r w:rsidRPr="001338B8">
        <w:rPr>
          <w:lang w:val="en-GB"/>
        </w:rPr>
        <w:t xml:space="preserve"> “we want to reduce price differences between zones,” that is not just “we dislike the chart.” It is implicitly “we want to change the mechanisms that create the chart.” There are multiple mechanisms that can create the same price spread pattern:</w:t>
      </w:r>
    </w:p>
    <w:p w14:paraId="65662ADB" w14:textId="77777777" w:rsidR="001338B8" w:rsidRPr="001338B8" w:rsidRDefault="001338B8" w:rsidP="001338B8">
      <w:pPr>
        <w:numPr>
          <w:ilvl w:val="0"/>
          <w:numId w:val="7"/>
        </w:numPr>
        <w:rPr>
          <w:lang w:val="en-GB"/>
        </w:rPr>
      </w:pPr>
      <w:r w:rsidRPr="001338B8">
        <w:rPr>
          <w:lang w:val="en-GB"/>
        </w:rPr>
        <w:t>congestion inside Sweden and limited north to south transfer capacity</w:t>
      </w:r>
    </w:p>
    <w:p w14:paraId="1B870A66" w14:textId="77777777" w:rsidR="001338B8" w:rsidRPr="001338B8" w:rsidRDefault="001338B8" w:rsidP="001338B8">
      <w:pPr>
        <w:numPr>
          <w:ilvl w:val="0"/>
          <w:numId w:val="7"/>
        </w:numPr>
        <w:rPr>
          <w:lang w:val="en-GB"/>
        </w:rPr>
      </w:pPr>
      <w:r w:rsidRPr="001338B8">
        <w:rPr>
          <w:lang w:val="en-GB"/>
        </w:rPr>
        <w:t>cross border price linkage, especially for SE4</w:t>
      </w:r>
    </w:p>
    <w:p w14:paraId="26A6A1AE" w14:textId="77777777" w:rsidR="001338B8" w:rsidRPr="001338B8" w:rsidRDefault="001338B8" w:rsidP="001338B8">
      <w:pPr>
        <w:numPr>
          <w:ilvl w:val="0"/>
          <w:numId w:val="7"/>
        </w:numPr>
        <w:rPr>
          <w:lang w:val="en-GB"/>
        </w:rPr>
      </w:pPr>
      <w:r w:rsidRPr="001338B8">
        <w:rPr>
          <w:lang w:val="en-GB"/>
        </w:rPr>
        <w:t>local generation mix and variability (wind and hydro availability)</w:t>
      </w:r>
    </w:p>
    <w:p w14:paraId="619553A5" w14:textId="77777777" w:rsidR="001338B8" w:rsidRPr="001338B8" w:rsidRDefault="001338B8" w:rsidP="001338B8">
      <w:pPr>
        <w:numPr>
          <w:ilvl w:val="0"/>
          <w:numId w:val="7"/>
        </w:numPr>
      </w:pPr>
      <w:proofErr w:type="spellStart"/>
      <w:r w:rsidRPr="001338B8">
        <w:t>demand</w:t>
      </w:r>
      <w:proofErr w:type="spellEnd"/>
      <w:r w:rsidRPr="001338B8">
        <w:t xml:space="preserve"> distribution and </w:t>
      </w:r>
      <w:proofErr w:type="spellStart"/>
      <w:r w:rsidRPr="001338B8">
        <w:t>demand</w:t>
      </w:r>
      <w:proofErr w:type="spellEnd"/>
      <w:r w:rsidRPr="001338B8">
        <w:t xml:space="preserve"> </w:t>
      </w:r>
      <w:proofErr w:type="spellStart"/>
      <w:r w:rsidRPr="001338B8">
        <w:t>shocks</w:t>
      </w:r>
      <w:proofErr w:type="spellEnd"/>
    </w:p>
    <w:p w14:paraId="38B6CD10" w14:textId="77777777" w:rsidR="001338B8" w:rsidRPr="001338B8" w:rsidRDefault="001338B8" w:rsidP="001338B8">
      <w:pPr>
        <w:numPr>
          <w:ilvl w:val="0"/>
          <w:numId w:val="7"/>
        </w:numPr>
        <w:rPr>
          <w:lang w:val="en-GB"/>
        </w:rPr>
      </w:pPr>
      <w:r w:rsidRPr="001338B8">
        <w:rPr>
          <w:lang w:val="en-GB"/>
        </w:rPr>
        <w:t>market rules for allocating transmission capacity (for example flow based methods)</w:t>
      </w:r>
    </w:p>
    <w:p w14:paraId="57E5BCC5" w14:textId="77777777" w:rsidR="001338B8" w:rsidRPr="001338B8" w:rsidRDefault="001338B8" w:rsidP="001338B8">
      <w:pPr>
        <w:rPr>
          <w:lang w:val="en-GB"/>
        </w:rPr>
      </w:pPr>
      <w:r w:rsidRPr="001338B8">
        <w:rPr>
          <w:lang w:val="en-GB"/>
        </w:rPr>
        <w:lastRenderedPageBreak/>
        <w:t>Two worlds can have the same average SE4–SE1 spread but require completely different policy actions.</w:t>
      </w:r>
    </w:p>
    <w:p w14:paraId="2387C93B" w14:textId="77777777" w:rsidR="001338B8" w:rsidRPr="001338B8" w:rsidRDefault="001338B8" w:rsidP="001338B8">
      <w:pPr>
        <w:rPr>
          <w:b/>
          <w:bCs/>
          <w:lang w:val="en-GB"/>
        </w:rPr>
      </w:pPr>
      <w:r w:rsidRPr="001338B8">
        <w:rPr>
          <w:b/>
          <w:bCs/>
          <w:lang w:val="en-GB"/>
        </w:rPr>
        <w:t>2) Your coefficient answers a mechanism question</w:t>
      </w:r>
    </w:p>
    <w:p w14:paraId="2B3F92FC" w14:textId="77777777" w:rsidR="001338B8" w:rsidRPr="001338B8" w:rsidRDefault="001338B8" w:rsidP="001338B8">
      <w:pPr>
        <w:rPr>
          <w:lang w:val="en-GB"/>
        </w:rPr>
      </w:pPr>
      <w:r w:rsidRPr="001338B8">
        <w:rPr>
          <w:lang w:val="en-GB"/>
        </w:rPr>
        <w:t>Your wind coefficient, zone by zone, is evidence about one specific mechanism: the marginal price response to local wind variation within that zone. Said plainly:</w:t>
      </w:r>
    </w:p>
    <w:p w14:paraId="40F68A04" w14:textId="77777777" w:rsidR="001338B8" w:rsidRPr="001338B8" w:rsidRDefault="001338B8" w:rsidP="001338B8">
      <w:pPr>
        <w:rPr>
          <w:lang w:val="en-GB"/>
        </w:rPr>
      </w:pPr>
      <w:r w:rsidRPr="001338B8">
        <w:rPr>
          <w:lang w:val="en-GB"/>
        </w:rPr>
        <w:t>When wind in a zone is higher than usual, does that zone’s day ahead price drop a lot, a little, or basically not at all, after controlling for other drivers, and does that sensitivity change over time.</w:t>
      </w:r>
    </w:p>
    <w:p w14:paraId="4D198555" w14:textId="77777777" w:rsidR="001338B8" w:rsidRPr="001338B8" w:rsidRDefault="001338B8" w:rsidP="001338B8">
      <w:pPr>
        <w:rPr>
          <w:lang w:val="en-GB"/>
        </w:rPr>
      </w:pPr>
      <w:r w:rsidRPr="001338B8">
        <w:rPr>
          <w:lang w:val="en-GB"/>
        </w:rPr>
        <w:t>That is not trivial and it is not the same as price spreads. It is closer to “how does price formation in this zone respond to local wind shocks.”</w:t>
      </w:r>
    </w:p>
    <w:p w14:paraId="671CEB76" w14:textId="77777777" w:rsidR="001338B8" w:rsidRPr="001338B8" w:rsidRDefault="001338B8" w:rsidP="001338B8">
      <w:pPr>
        <w:rPr>
          <w:b/>
          <w:bCs/>
          <w:lang w:val="en-GB"/>
        </w:rPr>
      </w:pPr>
      <w:r w:rsidRPr="001338B8">
        <w:rPr>
          <w:b/>
          <w:bCs/>
          <w:lang w:val="en-GB"/>
        </w:rPr>
        <w:t>3) How that links to the bidding zone and “one price area” debate</w:t>
      </w:r>
    </w:p>
    <w:p w14:paraId="5B82090C" w14:textId="77777777" w:rsidR="001338B8" w:rsidRPr="001338B8" w:rsidRDefault="001338B8" w:rsidP="001338B8">
      <w:pPr>
        <w:rPr>
          <w:lang w:val="en-GB"/>
        </w:rPr>
      </w:pPr>
      <w:r w:rsidRPr="001338B8">
        <w:rPr>
          <w:lang w:val="en-GB"/>
        </w:rPr>
        <w:t xml:space="preserve">Svenska </w:t>
      </w:r>
      <w:proofErr w:type="spellStart"/>
      <w:r w:rsidRPr="001338B8">
        <w:rPr>
          <w:lang w:val="en-GB"/>
        </w:rPr>
        <w:t>kraftnät’s</w:t>
      </w:r>
      <w:proofErr w:type="spellEnd"/>
      <w:r w:rsidRPr="001338B8">
        <w:rPr>
          <w:lang w:val="en-GB"/>
        </w:rPr>
        <w:t xml:space="preserve"> assignment about zone configuration is fundamentally about whether Sweden should keep a structure where local conditions matter for prices, or whether Sweden could move toward fewer zones or one zone without creating harmful congestion costs or distorted signals.</w:t>
      </w:r>
    </w:p>
    <w:p w14:paraId="26A202E1" w14:textId="77777777" w:rsidR="001338B8" w:rsidRPr="001338B8" w:rsidRDefault="001338B8" w:rsidP="001338B8">
      <w:pPr>
        <w:rPr>
          <w:lang w:val="en-GB"/>
        </w:rPr>
      </w:pPr>
      <w:r w:rsidRPr="001338B8">
        <w:rPr>
          <w:lang w:val="en-GB"/>
        </w:rPr>
        <w:t>Your coefficients provide relevant historical evidence for that debate because they quantify how strongly local renewable variability shows up in local prices, and whether that differs across zones and changes over time. Importantly, the direction of that evidence depends on how the coefficient paths behave: if wind–price sensitivities become more similar across SE1–SE4 over time, that is consistent with more uniform price formation and would be supportive evidence for a move toward fewer zones; if the coefficient paths diverge, meaning local wind increasingly moves prices strongly in some zones but not others, that is evidence of growing heterogeneity in price formation and therefore evidence against treating Sweden as a single integrated price area without major complementary changes.</w:t>
      </w:r>
    </w:p>
    <w:p w14:paraId="30552C55" w14:textId="77777777" w:rsidR="001338B8" w:rsidRPr="001338B8" w:rsidRDefault="001338B8" w:rsidP="001338B8">
      <w:pPr>
        <w:rPr>
          <w:lang w:val="en-GB"/>
        </w:rPr>
      </w:pPr>
      <w:r w:rsidRPr="001338B8">
        <w:rPr>
          <w:lang w:val="en-GB"/>
        </w:rPr>
        <w:t>If the wind coefficient is strongly negative in SE1 and SE2 but weak or unstable in SE3 and especially SE4, that means local wind variation is priced very differently across the country. This is consistent with heterogeneous price formation across zones, potentially reflecting internal constraints and or external price linkage.</w:t>
      </w:r>
    </w:p>
    <w:p w14:paraId="4E92945E" w14:textId="77777777" w:rsidR="001338B8" w:rsidRPr="001338B8" w:rsidRDefault="001338B8" w:rsidP="001338B8">
      <w:pPr>
        <w:rPr>
          <w:lang w:val="en-GB"/>
        </w:rPr>
      </w:pPr>
      <w:r w:rsidRPr="001338B8">
        <w:rPr>
          <w:lang w:val="en-GB"/>
        </w:rPr>
        <w:t>Why does this matter for “one price area.”</w:t>
      </w:r>
    </w:p>
    <w:p w14:paraId="6852ABAB" w14:textId="77777777" w:rsidR="001338B8" w:rsidRPr="001338B8" w:rsidRDefault="001338B8" w:rsidP="001338B8">
      <w:pPr>
        <w:numPr>
          <w:ilvl w:val="0"/>
          <w:numId w:val="8"/>
        </w:numPr>
        <w:rPr>
          <w:lang w:val="en-GB"/>
        </w:rPr>
      </w:pPr>
      <w:r w:rsidRPr="001338B8">
        <w:rPr>
          <w:lang w:val="en-GB"/>
        </w:rPr>
        <w:t>A single price area is most defensible when price formation is broadly similar across the country, meaning local shocks do not systematically produce large differences in local marginal price responses.</w:t>
      </w:r>
    </w:p>
    <w:p w14:paraId="4690B0F0" w14:textId="77777777" w:rsidR="001338B8" w:rsidRPr="001338B8" w:rsidRDefault="001338B8" w:rsidP="001338B8">
      <w:pPr>
        <w:numPr>
          <w:ilvl w:val="0"/>
          <w:numId w:val="8"/>
        </w:numPr>
        <w:rPr>
          <w:lang w:val="en-GB"/>
        </w:rPr>
      </w:pPr>
      <w:r w:rsidRPr="001338B8">
        <w:rPr>
          <w:lang w:val="en-GB"/>
        </w:rPr>
        <w:t xml:space="preserve">Persistent large and </w:t>
      </w:r>
      <w:proofErr w:type="gramStart"/>
      <w:r w:rsidRPr="001338B8">
        <w:rPr>
          <w:lang w:val="en-GB"/>
        </w:rPr>
        <w:t>zone specific</w:t>
      </w:r>
      <w:proofErr w:type="gramEnd"/>
      <w:r w:rsidRPr="001338B8">
        <w:rPr>
          <w:lang w:val="en-GB"/>
        </w:rPr>
        <w:t xml:space="preserve"> differences in wind–price sensitivity </w:t>
      </w:r>
      <w:proofErr w:type="gramStart"/>
      <w:r w:rsidRPr="001338B8">
        <w:rPr>
          <w:lang w:val="en-GB"/>
        </w:rPr>
        <w:t>are</w:t>
      </w:r>
      <w:proofErr w:type="gramEnd"/>
      <w:r w:rsidRPr="001338B8">
        <w:rPr>
          <w:lang w:val="en-GB"/>
        </w:rPr>
        <w:t xml:space="preserve"> evidence that local conditions still translate into meaningfully different local price dynamics, which is one of the core reasons zonal </w:t>
      </w:r>
      <w:proofErr w:type="gramStart"/>
      <w:r w:rsidRPr="001338B8">
        <w:rPr>
          <w:lang w:val="en-GB"/>
        </w:rPr>
        <w:t>pricing</w:t>
      </w:r>
      <w:proofErr w:type="gramEnd"/>
      <w:r w:rsidRPr="001338B8">
        <w:rPr>
          <w:lang w:val="en-GB"/>
        </w:rPr>
        <w:t xml:space="preserve"> exists.</w:t>
      </w:r>
    </w:p>
    <w:p w14:paraId="37E0BDA8" w14:textId="77777777" w:rsidR="001338B8" w:rsidRPr="001338B8" w:rsidRDefault="001338B8" w:rsidP="001338B8">
      <w:pPr>
        <w:rPr>
          <w:lang w:val="en-GB"/>
        </w:rPr>
      </w:pPr>
      <w:r w:rsidRPr="001338B8">
        <w:rPr>
          <w:lang w:val="en-GB"/>
        </w:rPr>
        <w:lastRenderedPageBreak/>
        <w:t>You cannot conclude “therefore one zone is impossible.” But you can say:</w:t>
      </w:r>
      <w:r w:rsidRPr="001338B8">
        <w:rPr>
          <w:lang w:val="en-GB"/>
        </w:rPr>
        <w:br/>
        <w:t>Observed local price responses to local wind shocks differ across zones and change over time. This indicates that zone level price formation is heterogeneous and not stable, which is policy relevant evidence when assessing whether zone boundaries still reflect material constraints and how market design changes affect price formation.</w:t>
      </w:r>
    </w:p>
    <w:p w14:paraId="43D8A109" w14:textId="77777777" w:rsidR="001338B8" w:rsidRPr="001338B8" w:rsidRDefault="001338B8" w:rsidP="001338B8">
      <w:pPr>
        <w:rPr>
          <w:lang w:val="en-GB"/>
        </w:rPr>
      </w:pPr>
      <w:r w:rsidRPr="001338B8">
        <w:rPr>
          <w:lang w:val="en-GB"/>
        </w:rPr>
        <w:t>That is a much stronger link than “SE4 is expensive.”</w:t>
      </w:r>
    </w:p>
    <w:p w14:paraId="68A6A94A" w14:textId="77777777" w:rsidR="001338B8" w:rsidRPr="001338B8" w:rsidRDefault="001338B8" w:rsidP="001338B8">
      <w:pPr>
        <w:rPr>
          <w:b/>
          <w:bCs/>
          <w:lang w:val="en-GB"/>
        </w:rPr>
      </w:pPr>
      <w:r w:rsidRPr="001338B8">
        <w:rPr>
          <w:b/>
          <w:bCs/>
          <w:lang w:val="en-GB"/>
        </w:rPr>
        <w:t>4) How it links to “reduce price differences”</w:t>
      </w:r>
    </w:p>
    <w:p w14:paraId="5CB95F9C" w14:textId="77777777" w:rsidR="001338B8" w:rsidRPr="001338B8" w:rsidRDefault="001338B8" w:rsidP="001338B8">
      <w:pPr>
        <w:rPr>
          <w:lang w:val="en-GB"/>
        </w:rPr>
      </w:pPr>
      <w:r w:rsidRPr="001338B8">
        <w:rPr>
          <w:lang w:val="en-GB"/>
        </w:rPr>
        <w:t>Reducing price differences can be pursued in two broad ways:</w:t>
      </w:r>
    </w:p>
    <w:p w14:paraId="4E95DACF" w14:textId="77777777" w:rsidR="001338B8" w:rsidRPr="001338B8" w:rsidRDefault="001338B8" w:rsidP="001338B8">
      <w:pPr>
        <w:numPr>
          <w:ilvl w:val="0"/>
          <w:numId w:val="9"/>
        </w:numPr>
        <w:rPr>
          <w:lang w:val="en-GB"/>
        </w:rPr>
      </w:pPr>
      <w:r w:rsidRPr="001338B8">
        <w:rPr>
          <w:lang w:val="en-GB"/>
        </w:rPr>
        <w:t>increase transfer capacity and market integration, so surplus production in the north affects prices more broadly and persistent gaps narrow</w:t>
      </w:r>
    </w:p>
    <w:p w14:paraId="65F809B1" w14:textId="77777777" w:rsidR="001338B8" w:rsidRPr="001338B8" w:rsidRDefault="001338B8" w:rsidP="001338B8">
      <w:pPr>
        <w:numPr>
          <w:ilvl w:val="0"/>
          <w:numId w:val="9"/>
        </w:numPr>
        <w:rPr>
          <w:lang w:val="en-GB"/>
        </w:rPr>
      </w:pPr>
      <w:r w:rsidRPr="001338B8">
        <w:rPr>
          <w:lang w:val="en-GB"/>
        </w:rPr>
        <w:t>change market design or zone definitions so that pricing better reflects constraints or spreads risks differently</w:t>
      </w:r>
    </w:p>
    <w:p w14:paraId="7798CAFA" w14:textId="77777777" w:rsidR="001338B8" w:rsidRPr="001338B8" w:rsidRDefault="001338B8" w:rsidP="001338B8">
      <w:pPr>
        <w:rPr>
          <w:lang w:val="en-GB"/>
        </w:rPr>
      </w:pPr>
      <w:r w:rsidRPr="001338B8">
        <w:rPr>
          <w:lang w:val="en-GB"/>
        </w:rPr>
        <w:t>Your coefficient paths help diagnose which of these stories is more plausible in different periods, because they show where and when local wind variation is strongly capitalised into local prices.</w:t>
      </w:r>
    </w:p>
    <w:p w14:paraId="3BAFC671" w14:textId="77777777" w:rsidR="001338B8" w:rsidRPr="001338B8" w:rsidRDefault="001338B8" w:rsidP="001338B8">
      <w:proofErr w:type="spellStart"/>
      <w:r w:rsidRPr="001338B8">
        <w:t>Example</w:t>
      </w:r>
      <w:proofErr w:type="spellEnd"/>
      <w:r w:rsidRPr="001338B8">
        <w:t xml:space="preserve"> reasoning:</w:t>
      </w:r>
    </w:p>
    <w:p w14:paraId="615CACFF" w14:textId="77777777" w:rsidR="001338B8" w:rsidRPr="001338B8" w:rsidRDefault="001338B8" w:rsidP="001338B8">
      <w:pPr>
        <w:numPr>
          <w:ilvl w:val="0"/>
          <w:numId w:val="10"/>
        </w:numPr>
        <w:rPr>
          <w:lang w:val="en-GB"/>
        </w:rPr>
      </w:pPr>
      <w:r w:rsidRPr="001338B8">
        <w:rPr>
          <w:lang w:val="en-GB"/>
        </w:rPr>
        <w:t>Suppose the SE1 wind coefficient becomes more negative over time. That means wind surges increasingly depress the local price in SE1. If at the same time the SE4 wind coefficient remains small, SE4 prices are not very sensitive to local wind variation. That pattern is consistent with persistent differences in local price formation, which could reflect internal transfer limits and or stronger external price linkage in SE4.</w:t>
      </w:r>
    </w:p>
    <w:p w14:paraId="3B65AB92" w14:textId="77777777" w:rsidR="001338B8" w:rsidRPr="001338B8" w:rsidRDefault="001338B8" w:rsidP="001338B8">
      <w:pPr>
        <w:numPr>
          <w:ilvl w:val="0"/>
          <w:numId w:val="10"/>
        </w:numPr>
        <w:rPr>
          <w:lang w:val="en-GB"/>
        </w:rPr>
      </w:pPr>
      <w:r w:rsidRPr="001338B8">
        <w:rPr>
          <w:lang w:val="en-GB"/>
        </w:rPr>
        <w:t>If instead the four zone coefficients become more similar over time, that is consistent with local wind variation being priced in a more comparable way across Sweden, which would be supportive evidence that price formation is becoming more uniform.</w:t>
      </w:r>
    </w:p>
    <w:p w14:paraId="4673E052" w14:textId="77777777" w:rsidR="001338B8" w:rsidRPr="001338B8" w:rsidRDefault="001338B8" w:rsidP="001338B8">
      <w:pPr>
        <w:rPr>
          <w:lang w:val="en-GB"/>
        </w:rPr>
      </w:pPr>
      <w:r w:rsidRPr="001338B8">
        <w:rPr>
          <w:lang w:val="en-GB"/>
        </w:rPr>
        <w:t>In either case, the policy issue behind “price spread reduction” is not just the average spread chart. It is whether the pricing response to renewable variability is becoming more uniform across the country, or more segmented, which is the type of evidence that motivates discussions about grid reinforcement or zone design.</w:t>
      </w:r>
    </w:p>
    <w:p w14:paraId="66719349" w14:textId="77777777" w:rsidR="001338B8" w:rsidRPr="001338B8" w:rsidRDefault="001338B8" w:rsidP="001338B8">
      <w:pPr>
        <w:rPr>
          <w:lang w:val="en-GB"/>
        </w:rPr>
      </w:pPr>
      <w:proofErr w:type="gramStart"/>
      <w:r w:rsidRPr="001338B8">
        <w:rPr>
          <w:lang w:val="en-GB"/>
        </w:rPr>
        <w:t>So</w:t>
      </w:r>
      <w:proofErr w:type="gramEnd"/>
      <w:r w:rsidRPr="001338B8">
        <w:rPr>
          <w:lang w:val="en-GB"/>
        </w:rPr>
        <w:t xml:space="preserve"> your coefficients are an </w:t>
      </w:r>
      <w:proofErr w:type="gramStart"/>
      <w:r w:rsidRPr="001338B8">
        <w:rPr>
          <w:lang w:val="en-GB"/>
        </w:rPr>
        <w:t>outcome based</w:t>
      </w:r>
      <w:proofErr w:type="gramEnd"/>
      <w:r w:rsidRPr="001338B8">
        <w:rPr>
          <w:lang w:val="en-GB"/>
        </w:rPr>
        <w:t xml:space="preserve"> indicator of how local wind variability is reflected in local prices, and how that differs across zones and time.</w:t>
      </w:r>
    </w:p>
    <w:p w14:paraId="2E2C4E22" w14:textId="77777777" w:rsidR="001338B8" w:rsidRPr="001338B8" w:rsidRDefault="001338B8" w:rsidP="001338B8">
      <w:pPr>
        <w:rPr>
          <w:b/>
          <w:bCs/>
          <w:lang w:val="en-GB"/>
        </w:rPr>
      </w:pPr>
      <w:r w:rsidRPr="001338B8">
        <w:rPr>
          <w:b/>
          <w:bCs/>
          <w:lang w:val="en-GB"/>
        </w:rPr>
        <w:t>5) Why the “over time” part is central, and why it speaks to 2030 and 2035</w:t>
      </w:r>
    </w:p>
    <w:p w14:paraId="74BE366E" w14:textId="77777777" w:rsidR="001338B8" w:rsidRPr="001338B8" w:rsidRDefault="001338B8" w:rsidP="001338B8">
      <w:pPr>
        <w:rPr>
          <w:lang w:val="en-GB"/>
        </w:rPr>
      </w:pPr>
      <w:r w:rsidRPr="001338B8">
        <w:rPr>
          <w:lang w:val="en-GB"/>
        </w:rPr>
        <w:t>Even if someone accepts that wind matters, a static coefficient assumes that the zone’s pricing response to wind is the same in 2015 and 2025.</w:t>
      </w:r>
    </w:p>
    <w:p w14:paraId="403B1020" w14:textId="77777777" w:rsidR="001338B8" w:rsidRPr="001338B8" w:rsidRDefault="001338B8" w:rsidP="001338B8">
      <w:pPr>
        <w:rPr>
          <w:lang w:val="en-GB"/>
        </w:rPr>
      </w:pPr>
      <w:r w:rsidRPr="001338B8">
        <w:rPr>
          <w:lang w:val="en-GB"/>
        </w:rPr>
        <w:lastRenderedPageBreak/>
        <w:t>But Sweden changed along multiple dimensions over that decade:</w:t>
      </w:r>
    </w:p>
    <w:p w14:paraId="34E66056" w14:textId="77777777" w:rsidR="001338B8" w:rsidRPr="001338B8" w:rsidRDefault="001338B8" w:rsidP="001338B8">
      <w:pPr>
        <w:numPr>
          <w:ilvl w:val="0"/>
          <w:numId w:val="11"/>
        </w:numPr>
      </w:pPr>
      <w:proofErr w:type="spellStart"/>
      <w:r w:rsidRPr="001338B8">
        <w:t>wind</w:t>
      </w:r>
      <w:proofErr w:type="spellEnd"/>
      <w:r w:rsidRPr="001338B8">
        <w:t xml:space="preserve"> penetration </w:t>
      </w:r>
      <w:proofErr w:type="spellStart"/>
      <w:r w:rsidRPr="001338B8">
        <w:t>increased</w:t>
      </w:r>
      <w:proofErr w:type="spellEnd"/>
    </w:p>
    <w:p w14:paraId="050A8C60" w14:textId="77777777" w:rsidR="001338B8" w:rsidRPr="001338B8" w:rsidRDefault="001338B8" w:rsidP="001338B8">
      <w:pPr>
        <w:numPr>
          <w:ilvl w:val="0"/>
          <w:numId w:val="11"/>
        </w:numPr>
        <w:rPr>
          <w:lang w:val="en-GB"/>
        </w:rPr>
      </w:pPr>
      <w:r w:rsidRPr="001338B8">
        <w:rPr>
          <w:lang w:val="en-GB"/>
        </w:rPr>
        <w:t>interconnector usage and external price linkage changed</w:t>
      </w:r>
    </w:p>
    <w:p w14:paraId="00B7FD25" w14:textId="77777777" w:rsidR="001338B8" w:rsidRPr="001338B8" w:rsidRDefault="001338B8" w:rsidP="001338B8">
      <w:pPr>
        <w:numPr>
          <w:ilvl w:val="0"/>
          <w:numId w:val="11"/>
        </w:numPr>
        <w:rPr>
          <w:lang w:val="en-GB"/>
        </w:rPr>
      </w:pPr>
      <w:r w:rsidRPr="001338B8">
        <w:rPr>
          <w:lang w:val="en-GB"/>
        </w:rPr>
        <w:t>internal bottlenecks and grid reinforcements evolved</w:t>
      </w:r>
    </w:p>
    <w:p w14:paraId="2D7725BF" w14:textId="77777777" w:rsidR="001338B8" w:rsidRPr="001338B8" w:rsidRDefault="001338B8" w:rsidP="001338B8">
      <w:pPr>
        <w:numPr>
          <w:ilvl w:val="0"/>
          <w:numId w:val="11"/>
        </w:numPr>
        <w:rPr>
          <w:lang w:val="en-GB"/>
        </w:rPr>
      </w:pPr>
      <w:r w:rsidRPr="001338B8">
        <w:rPr>
          <w:lang w:val="en-GB"/>
        </w:rPr>
        <w:t>capacity calculation and market coupling rules changed</w:t>
      </w:r>
    </w:p>
    <w:p w14:paraId="4EEFD7CB" w14:textId="77777777" w:rsidR="001338B8" w:rsidRPr="001338B8" w:rsidRDefault="001338B8" w:rsidP="001338B8">
      <w:pPr>
        <w:rPr>
          <w:lang w:val="en-GB"/>
        </w:rPr>
      </w:pPr>
      <w:proofErr w:type="gramStart"/>
      <w:r w:rsidRPr="001338B8">
        <w:rPr>
          <w:lang w:val="en-GB"/>
        </w:rPr>
        <w:t>So</w:t>
      </w:r>
      <w:proofErr w:type="gramEnd"/>
      <w:r w:rsidRPr="001338B8">
        <w:rPr>
          <w:lang w:val="en-GB"/>
        </w:rPr>
        <w:t xml:space="preserve"> the policy relevant question becomes:</w:t>
      </w:r>
      <w:r w:rsidRPr="001338B8">
        <w:rPr>
          <w:lang w:val="en-GB"/>
        </w:rPr>
        <w:br/>
        <w:t>Have zone level price responses to local wind variation become more similar across Sweden, or more different, over time.</w:t>
      </w:r>
    </w:p>
    <w:p w14:paraId="6236700E" w14:textId="77777777" w:rsidR="001338B8" w:rsidRPr="001338B8" w:rsidRDefault="001338B8" w:rsidP="001338B8">
      <w:pPr>
        <w:rPr>
          <w:lang w:val="en-GB"/>
        </w:rPr>
      </w:pPr>
      <w:r w:rsidRPr="001338B8">
        <w:rPr>
          <w:lang w:val="en-GB"/>
        </w:rPr>
        <w:t xml:space="preserve">Your rolling coefficient paths are a direct empirical window into those changes. They also provide a disciplined way to connect your historical evidence to the </w:t>
      </w:r>
      <w:proofErr w:type="gramStart"/>
      <w:r w:rsidRPr="001338B8">
        <w:rPr>
          <w:lang w:val="en-GB"/>
        </w:rPr>
        <w:t>forward looking</w:t>
      </w:r>
      <w:proofErr w:type="gramEnd"/>
      <w:r w:rsidRPr="001338B8">
        <w:rPr>
          <w:lang w:val="en-GB"/>
        </w:rPr>
        <w:t xml:space="preserve"> horizon in Svenska </w:t>
      </w:r>
      <w:proofErr w:type="spellStart"/>
      <w:r w:rsidRPr="001338B8">
        <w:rPr>
          <w:lang w:val="en-GB"/>
        </w:rPr>
        <w:t>kraftnät’s</w:t>
      </w:r>
      <w:proofErr w:type="spellEnd"/>
      <w:r w:rsidRPr="001338B8">
        <w:rPr>
          <w:lang w:val="en-GB"/>
        </w:rPr>
        <w:t xml:space="preserve"> assignment. You are not claiming to forecast the exact spot price level in 2030 or 2035. Instead, you can use ten years of estimated wind–price sensitivities to document the direction and stability of the relationship, to test whether it has been trending or shifting across regimes, and to form transparent, </w:t>
      </w:r>
      <w:proofErr w:type="gramStart"/>
      <w:r w:rsidRPr="001338B8">
        <w:rPr>
          <w:lang w:val="en-GB"/>
        </w:rPr>
        <w:t>scenario based</w:t>
      </w:r>
      <w:proofErr w:type="gramEnd"/>
      <w:r w:rsidRPr="001338B8">
        <w:rPr>
          <w:lang w:val="en-GB"/>
        </w:rPr>
        <w:t xml:space="preserve"> hypotheses about whether the wind–price sensitivity is likely to continue converging or diverging across zones by 2030 and 2035. This aligns the empirical contribution of the thesis with the exact time horizons that the policy process is currently evaluating.</w:t>
      </w:r>
    </w:p>
    <w:p w14:paraId="5D75C16B" w14:textId="77777777" w:rsidR="001338B8" w:rsidRPr="001338B8" w:rsidRDefault="001338B8" w:rsidP="001338B8">
      <w:pPr>
        <w:rPr>
          <w:b/>
          <w:bCs/>
          <w:lang w:val="en-GB"/>
        </w:rPr>
      </w:pPr>
      <w:r w:rsidRPr="001338B8">
        <w:rPr>
          <w:b/>
          <w:bCs/>
          <w:lang w:val="en-GB"/>
        </w:rPr>
        <w:t>6) The cleanest way to phrase what your thesis answers</w:t>
      </w:r>
    </w:p>
    <w:p w14:paraId="098A1B23" w14:textId="77777777" w:rsidR="001338B8" w:rsidRPr="001338B8" w:rsidRDefault="001338B8" w:rsidP="001338B8">
      <w:pPr>
        <w:rPr>
          <w:lang w:val="en-GB"/>
        </w:rPr>
      </w:pPr>
      <w:r w:rsidRPr="001338B8">
        <w:rPr>
          <w:lang w:val="en-GB"/>
        </w:rPr>
        <w:t>Here are three policy language questions that match exactly what you estimate, without overstating:</w:t>
      </w:r>
    </w:p>
    <w:p w14:paraId="123FCB75" w14:textId="77777777" w:rsidR="001338B8" w:rsidRPr="001338B8" w:rsidRDefault="001338B8" w:rsidP="001338B8">
      <w:pPr>
        <w:numPr>
          <w:ilvl w:val="0"/>
          <w:numId w:val="12"/>
        </w:numPr>
      </w:pPr>
      <w:r w:rsidRPr="001338B8">
        <w:rPr>
          <w:lang w:val="en-GB"/>
        </w:rPr>
        <w:t xml:space="preserve">“How strongly do local wind fluctuations translate into day ahead price movements within each Swedish bidding </w:t>
      </w:r>
      <w:proofErr w:type="gramStart"/>
      <w:r w:rsidRPr="001338B8">
        <w:rPr>
          <w:lang w:val="en-GB"/>
        </w:rPr>
        <w:t>zone, and</w:t>
      </w:r>
      <w:proofErr w:type="gramEnd"/>
      <w:r w:rsidRPr="001338B8">
        <w:rPr>
          <w:lang w:val="en-GB"/>
        </w:rPr>
        <w:t xml:space="preserve"> has that sensitivity changed from 2015 to 2025.”</w:t>
      </w:r>
      <w:r w:rsidRPr="001338B8">
        <w:rPr>
          <w:lang w:val="en-GB"/>
        </w:rPr>
        <w:br/>
      </w:r>
      <w:proofErr w:type="spellStart"/>
      <w:r w:rsidRPr="001338B8">
        <w:t>This</w:t>
      </w:r>
      <w:proofErr w:type="spellEnd"/>
      <w:r w:rsidRPr="001338B8">
        <w:t xml:space="preserve"> is </w:t>
      </w:r>
      <w:proofErr w:type="spellStart"/>
      <w:r w:rsidRPr="001338B8">
        <w:t>literally</w:t>
      </w:r>
      <w:proofErr w:type="spellEnd"/>
      <w:r w:rsidRPr="001338B8">
        <w:t xml:space="preserve"> </w:t>
      </w:r>
      <w:proofErr w:type="spellStart"/>
      <w:r w:rsidRPr="001338B8">
        <w:t>your</w:t>
      </w:r>
      <w:proofErr w:type="spellEnd"/>
      <w:r w:rsidRPr="001338B8">
        <w:t xml:space="preserve"> </w:t>
      </w:r>
      <w:proofErr w:type="spellStart"/>
      <w:r w:rsidRPr="001338B8">
        <w:t>coefficient</w:t>
      </w:r>
      <w:proofErr w:type="spellEnd"/>
      <w:r w:rsidRPr="001338B8">
        <w:t xml:space="preserve"> series.</w:t>
      </w:r>
    </w:p>
    <w:p w14:paraId="346D14C2" w14:textId="77777777" w:rsidR="001338B8" w:rsidRPr="001338B8" w:rsidRDefault="001338B8" w:rsidP="001338B8">
      <w:pPr>
        <w:numPr>
          <w:ilvl w:val="0"/>
          <w:numId w:val="12"/>
        </w:numPr>
        <w:rPr>
          <w:lang w:val="en-GB"/>
        </w:rPr>
      </w:pPr>
      <w:r w:rsidRPr="001338B8">
        <w:rPr>
          <w:lang w:val="en-GB"/>
        </w:rPr>
        <w:t>“Are differences in local price formation across SE1–SE4 getting larger or smaller over time, as measured by how each zone’s price responds to its own wind variation.”</w:t>
      </w:r>
      <w:r w:rsidRPr="001338B8">
        <w:rPr>
          <w:lang w:val="en-GB"/>
        </w:rPr>
        <w:br/>
        <w:t>This makes your four coefficient paths a measure of heterogeneity in price formation, not just levels.</w:t>
      </w:r>
    </w:p>
    <w:p w14:paraId="57C2145E" w14:textId="77777777" w:rsidR="001338B8" w:rsidRPr="001338B8" w:rsidRDefault="001338B8" w:rsidP="001338B8">
      <w:pPr>
        <w:numPr>
          <w:ilvl w:val="0"/>
          <w:numId w:val="12"/>
        </w:numPr>
      </w:pPr>
      <w:r w:rsidRPr="001338B8">
        <w:rPr>
          <w:lang w:val="en-GB"/>
        </w:rPr>
        <w:t>“Do structural shifts in within zone wind–price relationships line up with major system periods such as the energy crisis years or changes in transmission and market coupling, indicating that institutional and system changes can alter how renewable variability is priced.”</w:t>
      </w:r>
      <w:r w:rsidRPr="001338B8">
        <w:rPr>
          <w:lang w:val="en-GB"/>
        </w:rPr>
        <w:br/>
      </w:r>
      <w:proofErr w:type="spellStart"/>
      <w:r w:rsidRPr="001338B8">
        <w:t>This</w:t>
      </w:r>
      <w:proofErr w:type="spellEnd"/>
      <w:r w:rsidRPr="001338B8">
        <w:t xml:space="preserve"> </w:t>
      </w:r>
      <w:proofErr w:type="spellStart"/>
      <w:r w:rsidRPr="001338B8">
        <w:t>uses</w:t>
      </w:r>
      <w:proofErr w:type="spellEnd"/>
      <w:r w:rsidRPr="001338B8">
        <w:t xml:space="preserve"> </w:t>
      </w:r>
      <w:proofErr w:type="spellStart"/>
      <w:r w:rsidRPr="001338B8">
        <w:t>your</w:t>
      </w:r>
      <w:proofErr w:type="spellEnd"/>
      <w:r w:rsidRPr="001338B8">
        <w:t xml:space="preserve"> break </w:t>
      </w:r>
      <w:proofErr w:type="spellStart"/>
      <w:r w:rsidRPr="001338B8">
        <w:t>analysis</w:t>
      </w:r>
      <w:proofErr w:type="spellEnd"/>
      <w:r w:rsidRPr="001338B8">
        <w:t xml:space="preserve"> </w:t>
      </w:r>
      <w:proofErr w:type="spellStart"/>
      <w:r w:rsidRPr="001338B8">
        <w:t>properly</w:t>
      </w:r>
      <w:proofErr w:type="spellEnd"/>
      <w:r w:rsidRPr="001338B8">
        <w:t>.</w:t>
      </w:r>
    </w:p>
    <w:p w14:paraId="4B943556" w14:textId="77777777" w:rsidR="001338B8" w:rsidRPr="001338B8" w:rsidRDefault="001338B8" w:rsidP="001338B8">
      <w:pPr>
        <w:rPr>
          <w:b/>
          <w:bCs/>
          <w:lang w:val="en-GB"/>
        </w:rPr>
      </w:pPr>
      <w:r w:rsidRPr="001338B8">
        <w:rPr>
          <w:b/>
          <w:bCs/>
          <w:lang w:val="en-GB"/>
        </w:rPr>
        <w:t>7) A practical way to make the link obvious in the thesis</w:t>
      </w:r>
    </w:p>
    <w:p w14:paraId="0FCF0042" w14:textId="77777777" w:rsidR="001338B8" w:rsidRPr="001338B8" w:rsidRDefault="001338B8" w:rsidP="001338B8">
      <w:pPr>
        <w:rPr>
          <w:lang w:val="en-GB"/>
        </w:rPr>
      </w:pPr>
      <w:r w:rsidRPr="001338B8">
        <w:rPr>
          <w:lang w:val="en-GB"/>
        </w:rPr>
        <w:lastRenderedPageBreak/>
        <w:t>In the introduction, make one explicit sentence that bridges from policy to your coefficient:</w:t>
      </w:r>
    </w:p>
    <w:p w14:paraId="1349998E" w14:textId="77777777" w:rsidR="001338B8" w:rsidRPr="001338B8" w:rsidRDefault="001338B8" w:rsidP="001338B8">
      <w:pPr>
        <w:rPr>
          <w:lang w:val="en-GB"/>
        </w:rPr>
      </w:pPr>
      <w:r w:rsidRPr="001338B8">
        <w:rPr>
          <w:lang w:val="en-GB"/>
        </w:rPr>
        <w:t>“Policy discussions about bidding zones and price differences are ultimately about how local supply variation is reflected in local prices and whether price formation differs persistently across Sweden. We study this by estimating, for each zone, how strongly local wind variations are priced in the day ahead market, how that relationship has evolved from 2015 to 2025, and what the historical trajectory implies for forward looking assessments that focus on 2030 and 2035.”</w:t>
      </w:r>
    </w:p>
    <w:p w14:paraId="09948B32" w14:textId="77777777" w:rsidR="001338B8" w:rsidRPr="001338B8" w:rsidRDefault="001338B8" w:rsidP="001338B8">
      <w:pPr>
        <w:rPr>
          <w:lang w:val="en-GB"/>
        </w:rPr>
      </w:pPr>
      <w:r w:rsidRPr="001338B8">
        <w:rPr>
          <w:lang w:val="en-GB"/>
        </w:rPr>
        <w:t xml:space="preserve">That is the missing bridge. It makes clear you are not just re charting spreads. You are studying a key marginal pricing mechanism behind them, and you are doing it in a way that connects naturally to the time horizons that the policy review is </w:t>
      </w:r>
      <w:proofErr w:type="gramStart"/>
      <w:r w:rsidRPr="001338B8">
        <w:rPr>
          <w:lang w:val="en-GB"/>
        </w:rPr>
        <w:t>actually concerned</w:t>
      </w:r>
      <w:proofErr w:type="gramEnd"/>
      <w:r w:rsidRPr="001338B8">
        <w:rPr>
          <w:lang w:val="en-GB"/>
        </w:rPr>
        <w:t xml:space="preserve"> with.</w:t>
      </w:r>
    </w:p>
    <w:p w14:paraId="782B32CE" w14:textId="77777777" w:rsidR="00DC56A1" w:rsidRPr="00404634" w:rsidRDefault="00DC56A1">
      <w:pPr>
        <w:rPr>
          <w:lang w:val="en-GB"/>
        </w:rPr>
      </w:pPr>
    </w:p>
    <w:sectPr w:rsidR="00DC56A1" w:rsidRPr="004046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403D"/>
    <w:multiLevelType w:val="multilevel"/>
    <w:tmpl w:val="3CB6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C6EE1"/>
    <w:multiLevelType w:val="multilevel"/>
    <w:tmpl w:val="F410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F21F9"/>
    <w:multiLevelType w:val="multilevel"/>
    <w:tmpl w:val="2300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0411A"/>
    <w:multiLevelType w:val="multilevel"/>
    <w:tmpl w:val="98DC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621D8"/>
    <w:multiLevelType w:val="multilevel"/>
    <w:tmpl w:val="2B584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7C6055"/>
    <w:multiLevelType w:val="multilevel"/>
    <w:tmpl w:val="BEF6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B20B4"/>
    <w:multiLevelType w:val="multilevel"/>
    <w:tmpl w:val="C7E8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214D5"/>
    <w:multiLevelType w:val="multilevel"/>
    <w:tmpl w:val="D5D4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03382D"/>
    <w:multiLevelType w:val="multilevel"/>
    <w:tmpl w:val="B8DE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F62394"/>
    <w:multiLevelType w:val="multilevel"/>
    <w:tmpl w:val="5002B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F74C6A"/>
    <w:multiLevelType w:val="multilevel"/>
    <w:tmpl w:val="9B80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5F5EC8"/>
    <w:multiLevelType w:val="multilevel"/>
    <w:tmpl w:val="B19C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118950">
    <w:abstractNumId w:val="11"/>
  </w:num>
  <w:num w:numId="2" w16cid:durableId="1667202880">
    <w:abstractNumId w:val="8"/>
  </w:num>
  <w:num w:numId="3" w16cid:durableId="540441003">
    <w:abstractNumId w:val="3"/>
  </w:num>
  <w:num w:numId="4" w16cid:durableId="1273131929">
    <w:abstractNumId w:val="10"/>
  </w:num>
  <w:num w:numId="5" w16cid:durableId="212738774">
    <w:abstractNumId w:val="0"/>
  </w:num>
  <w:num w:numId="6" w16cid:durableId="1186555414">
    <w:abstractNumId w:val="4"/>
  </w:num>
  <w:num w:numId="7" w16cid:durableId="226841980">
    <w:abstractNumId w:val="6"/>
  </w:num>
  <w:num w:numId="8" w16cid:durableId="1743408937">
    <w:abstractNumId w:val="7"/>
  </w:num>
  <w:num w:numId="9" w16cid:durableId="981080546">
    <w:abstractNumId w:val="5"/>
  </w:num>
  <w:num w:numId="10" w16cid:durableId="1050957066">
    <w:abstractNumId w:val="2"/>
  </w:num>
  <w:num w:numId="11" w16cid:durableId="574974114">
    <w:abstractNumId w:val="1"/>
  </w:num>
  <w:num w:numId="12" w16cid:durableId="13817836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634"/>
    <w:rsid w:val="001338B8"/>
    <w:rsid w:val="00404634"/>
    <w:rsid w:val="006D2319"/>
    <w:rsid w:val="00D300CB"/>
    <w:rsid w:val="00D87657"/>
    <w:rsid w:val="00DC56A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0B47E"/>
  <w15:chartTrackingRefBased/>
  <w15:docId w15:val="{204A382D-A7FB-4879-AA96-3D880CC34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404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404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404634"/>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404634"/>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404634"/>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404634"/>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404634"/>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404634"/>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404634"/>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404634"/>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404634"/>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404634"/>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404634"/>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404634"/>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404634"/>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404634"/>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404634"/>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404634"/>
    <w:rPr>
      <w:rFonts w:eastAsiaTheme="majorEastAsia" w:cstheme="majorBidi"/>
      <w:color w:val="272727" w:themeColor="text1" w:themeTint="D8"/>
    </w:rPr>
  </w:style>
  <w:style w:type="paragraph" w:styleId="Rubrik">
    <w:name w:val="Title"/>
    <w:basedOn w:val="Normal"/>
    <w:next w:val="Normal"/>
    <w:link w:val="RubrikChar"/>
    <w:uiPriority w:val="10"/>
    <w:qFormat/>
    <w:rsid w:val="00404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404634"/>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404634"/>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404634"/>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404634"/>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404634"/>
    <w:rPr>
      <w:i/>
      <w:iCs/>
      <w:color w:val="404040" w:themeColor="text1" w:themeTint="BF"/>
    </w:rPr>
  </w:style>
  <w:style w:type="paragraph" w:styleId="Liststycke">
    <w:name w:val="List Paragraph"/>
    <w:basedOn w:val="Normal"/>
    <w:uiPriority w:val="34"/>
    <w:qFormat/>
    <w:rsid w:val="00404634"/>
    <w:pPr>
      <w:ind w:left="720"/>
      <w:contextualSpacing/>
    </w:pPr>
  </w:style>
  <w:style w:type="character" w:styleId="Starkbetoning">
    <w:name w:val="Intense Emphasis"/>
    <w:basedOn w:val="Standardstycketeckensnitt"/>
    <w:uiPriority w:val="21"/>
    <w:qFormat/>
    <w:rsid w:val="00404634"/>
    <w:rPr>
      <w:i/>
      <w:iCs/>
      <w:color w:val="0F4761" w:themeColor="accent1" w:themeShade="BF"/>
    </w:rPr>
  </w:style>
  <w:style w:type="paragraph" w:styleId="Starktcitat">
    <w:name w:val="Intense Quote"/>
    <w:basedOn w:val="Normal"/>
    <w:next w:val="Normal"/>
    <w:link w:val="StarktcitatChar"/>
    <w:uiPriority w:val="30"/>
    <w:qFormat/>
    <w:rsid w:val="00404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404634"/>
    <w:rPr>
      <w:i/>
      <w:iCs/>
      <w:color w:val="0F4761" w:themeColor="accent1" w:themeShade="BF"/>
    </w:rPr>
  </w:style>
  <w:style w:type="character" w:styleId="Starkreferens">
    <w:name w:val="Intense Reference"/>
    <w:basedOn w:val="Standardstycketeckensnitt"/>
    <w:uiPriority w:val="32"/>
    <w:qFormat/>
    <w:rsid w:val="00404634"/>
    <w:rPr>
      <w:b/>
      <w:bCs/>
      <w:smallCaps/>
      <w:color w:val="0F4761" w:themeColor="accent1" w:themeShade="BF"/>
      <w:spacing w:val="5"/>
    </w:rPr>
  </w:style>
  <w:style w:type="character" w:styleId="Hyperlnk">
    <w:name w:val="Hyperlink"/>
    <w:basedOn w:val="Standardstycketeckensnitt"/>
    <w:uiPriority w:val="99"/>
    <w:unhideWhenUsed/>
    <w:rsid w:val="00404634"/>
    <w:rPr>
      <w:color w:val="467886" w:themeColor="hyperlink"/>
      <w:u w:val="single"/>
    </w:rPr>
  </w:style>
  <w:style w:type="character" w:styleId="Olstomnmnande">
    <w:name w:val="Unresolved Mention"/>
    <w:basedOn w:val="Standardstycketeckensnitt"/>
    <w:uiPriority w:val="99"/>
    <w:semiHidden/>
    <w:unhideWhenUsed/>
    <w:rsid w:val="00404634"/>
    <w:rPr>
      <w:color w:val="605E5C"/>
      <w:shd w:val="clear" w:color="auto" w:fill="E1DFDD"/>
    </w:rPr>
  </w:style>
  <w:style w:type="character" w:styleId="AnvndHyperlnk">
    <w:name w:val="FollowedHyperlink"/>
    <w:basedOn w:val="Standardstycketeckensnitt"/>
    <w:uiPriority w:val="99"/>
    <w:semiHidden/>
    <w:unhideWhenUsed/>
    <w:rsid w:val="0040463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vk.se/utveckling-av-kraftsystemet/systemansvar--elmarknad/analysavelomraden/" TargetMode="External"/><Relationship Id="rId5" Type="http://schemas.openxmlformats.org/officeDocument/2006/relationships/hyperlink" Target="https://www.regeringen.se/pressmeddelanden/2025/05/svenska-kraftnat-far-i-uppdrag-att-gora-en-fornyad-analys-av-sveriges-elomradesindelning/"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1721</Words>
  <Characters>9123</Characters>
  <Application>Microsoft Office Word</Application>
  <DocSecurity>0</DocSecurity>
  <Lines>76</Lines>
  <Paragraphs>21</Paragraphs>
  <ScaleCrop>false</ScaleCrop>
  <Company/>
  <LinksUpToDate>false</LinksUpToDate>
  <CharactersWithSpaces>10823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Valter Strandler</dc:creator>
  <cp:keywords/>
  <dc:description/>
  <cp:lastModifiedBy>Valter Strandler</cp:lastModifiedBy>
  <cp:revision>2</cp:revision>
  <dcterms:created xsi:type="dcterms:W3CDTF">2026-02-19T18:00:00Z</dcterms:created>
  <dcterms:modified xsi:type="dcterms:W3CDTF">2026-02-19T18:12:00Z</dcterms:modified>
</cp:coreProperties>
</file>