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СПЕЦИАЛЬНОСТЬ 09.02.07 «ИНФОРМАЦИОННЫЕ СИСТЕМЫ И ПРОГРАММИРОВАНИЕ»</w:t>
      </w: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4"/>
              </w:rPr>
              <w:t>СОГЛАСОВАНО</w:t>
              <w:br/>
              <w:t>Руководитель проекта</w:t>
              <w:br/>
              <w:t>__________ / ____________ /</w:t>
              <w:br/>
              <w:t>«___» ____________ 2026 г.</w:t>
            </w:r>
          </w:p>
        </w:tc>
        <w:tc>
          <w:tcPr>
            <w:tcW w:type="dxa" w:w="4677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sz w:val="24"/>
              </w:rPr>
              <w:t>УТВЕРЖДАЮ</w:t>
              <w:br/>
              <w:t>Зам. директора по УПР</w:t>
              <w:br/>
              <w:t>__________ / ____________ /</w:t>
              <w:br/>
              <w:t>«___» ____________ 2026 г.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312" w:lineRule="auto"/>
        <w:jc w:val="center"/>
      </w:pPr>
      <w:r>
        <w:rPr>
          <w:rFonts w:ascii="Times New Roman" w:hAnsi="Times New Roman"/>
          <w:b/>
          <w:sz w:val="32"/>
        </w:rPr>
        <w:t>ПРОГРАММНЫЙ КОМПЛЕКС АВТОМАТИЗАЦИИ И УПРАВЛЕНИЯ ФИТНЕС-КЛУБОМ «FITCLUB»</w:t>
        <w:br/>
        <w:br/>
        <w:t>ТЕХНИЧЕСКОЕ ЗАДАНИЕ</w:t>
        <w:br/>
      </w:r>
    </w:p>
    <w:p>
      <w:pPr>
        <w:jc w:val="center"/>
      </w:pPr>
      <w:r>
        <w:rPr>
          <w:rFonts w:ascii="Times New Roman" w:hAnsi="Times New Roman"/>
          <w:sz w:val="26"/>
        </w:rPr>
        <w:t>ГОСТ 19.201-78</w:t>
        <w:br/>
        <w:t>Шифр темы: FitClub-SPA-03</w:t>
        <w:br/>
        <w:t>Листов 12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288" w:lineRule="auto"/>
        <w:jc w:val="right"/>
      </w:pPr>
      <w:r>
        <w:rPr>
          <w:rFonts w:ascii="Times New Roman" w:hAnsi="Times New Roman"/>
          <w:sz w:val="24"/>
        </w:rPr>
        <w:t>Разработчик: Сухинин А. В.</w:t>
        <w:br/>
        <w:t>Группа: 9-3-РПО-23-2</w:t>
        <w:br/>
        <w:t>Специальность: 09.02.07</w:t>
        <w:br/>
        <w:br/>
        <w:t>Нормоконтролер: _________ / _________ /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1. Введение</w:t>
      </w:r>
      <w:r>
        <w:rPr>
          <w:rFonts w:ascii="Times New Roman" w:hAnsi="Times New Roman"/>
          <w:sz w:val="22"/>
        </w:rPr>
        <w:t xml:space="preserve"> ............................................................... </w:t>
      </w:r>
      <w:r>
        <w:rPr>
          <w:rFonts w:ascii="Times New Roman" w:hAnsi="Times New Roman"/>
          <w:sz w:val="26"/>
        </w:rPr>
        <w:t>3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2. Основания для разработки</w:t>
      </w:r>
      <w:r>
        <w:rPr>
          <w:rFonts w:ascii="Times New Roman" w:hAnsi="Times New Roman"/>
          <w:sz w:val="22"/>
        </w:rPr>
        <w:t xml:space="preserve"> ............................... </w:t>
      </w:r>
      <w:r>
        <w:rPr>
          <w:rFonts w:ascii="Times New Roman" w:hAnsi="Times New Roman"/>
          <w:sz w:val="26"/>
        </w:rPr>
        <w:t>3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3. Назначение разработки</w:t>
      </w:r>
      <w:r>
        <w:rPr>
          <w:rFonts w:ascii="Times New Roman" w:hAnsi="Times New Roman"/>
          <w:sz w:val="22"/>
        </w:rPr>
        <w:t xml:space="preserve"> ..................................... </w:t>
      </w:r>
      <w:r>
        <w:rPr>
          <w:rFonts w:ascii="Times New Roman" w:hAnsi="Times New Roman"/>
          <w:sz w:val="26"/>
        </w:rPr>
        <w:t>4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4. Требования к программе или программному изделию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4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4.1. Требования к функциональным характеристикам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4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4.2. Требования к надежности</w:t>
      </w:r>
      <w:r>
        <w:rPr>
          <w:rFonts w:ascii="Times New Roman" w:hAnsi="Times New Roman"/>
          <w:sz w:val="22"/>
        </w:rPr>
        <w:t xml:space="preserve"> ..................... </w:t>
      </w:r>
      <w:r>
        <w:rPr>
          <w:rFonts w:ascii="Times New Roman" w:hAnsi="Times New Roman"/>
          <w:sz w:val="26"/>
        </w:rPr>
        <w:t>7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4.3. Условия эксплуатации</w:t>
      </w:r>
      <w:r>
        <w:rPr>
          <w:rFonts w:ascii="Times New Roman" w:hAnsi="Times New Roman"/>
          <w:sz w:val="22"/>
        </w:rPr>
        <w:t xml:space="preserve"> ........................... </w:t>
      </w:r>
      <w:r>
        <w:rPr>
          <w:rFonts w:ascii="Times New Roman" w:hAnsi="Times New Roman"/>
          <w:sz w:val="26"/>
        </w:rPr>
        <w:t>8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4.4. Требования к составу и параметрам технических средств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8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4.5. Требования к информационной и программной совместимости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9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4.6. Требования к маркировке и упаковке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9</w:t>
      </w:r>
    </w:p>
    <w:p>
      <w:pPr>
        <w:spacing w:line="312" w:lineRule="auto" w:before="40" w:after="40"/>
        <w:ind w:firstLine="1020"/>
      </w:pPr>
      <w:r>
        <w:rPr>
          <w:rFonts w:ascii="Times New Roman" w:hAnsi="Times New Roman"/>
          <w:sz w:val="26"/>
        </w:rPr>
        <w:t>4.7. Требования к транспортированию и хранению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6"/>
        </w:rPr>
        <w:t>10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5. Требования к программной документации</w:t>
      </w:r>
      <w:r>
        <w:rPr>
          <w:rFonts w:ascii="Times New Roman" w:hAnsi="Times New Roman"/>
          <w:sz w:val="22"/>
        </w:rPr>
        <w:t xml:space="preserve"> ..... </w:t>
      </w:r>
      <w:r>
        <w:rPr>
          <w:rFonts w:ascii="Times New Roman" w:hAnsi="Times New Roman"/>
          <w:sz w:val="26"/>
        </w:rPr>
        <w:t>10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6. Технико-экономические показатели</w:t>
      </w:r>
      <w:r>
        <w:rPr>
          <w:rFonts w:ascii="Times New Roman" w:hAnsi="Times New Roman"/>
          <w:sz w:val="22"/>
        </w:rPr>
        <w:t xml:space="preserve"> ............... </w:t>
      </w:r>
      <w:r>
        <w:rPr>
          <w:rFonts w:ascii="Times New Roman" w:hAnsi="Times New Roman"/>
          <w:sz w:val="26"/>
        </w:rPr>
        <w:t>10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7. Стадии и этапы разработки</w:t>
      </w:r>
      <w:r>
        <w:rPr>
          <w:rFonts w:ascii="Times New Roman" w:hAnsi="Times New Roman"/>
          <w:sz w:val="22"/>
        </w:rPr>
        <w:t xml:space="preserve"> ............................. </w:t>
      </w:r>
      <w:r>
        <w:rPr>
          <w:rFonts w:ascii="Times New Roman" w:hAnsi="Times New Roman"/>
          <w:sz w:val="26"/>
        </w:rPr>
        <w:t>11</w:t>
      </w:r>
    </w:p>
    <w:p>
      <w:pPr>
        <w:spacing w:line="312" w:lineRule="auto" w:before="40" w:after="40"/>
        <w:ind w:firstLine="709"/>
      </w:pPr>
      <w:r>
        <w:rPr>
          <w:rFonts w:ascii="Times New Roman" w:hAnsi="Times New Roman"/>
          <w:sz w:val="26"/>
        </w:rPr>
        <w:t>8. Порядок контроля и приемки</w:t>
      </w:r>
      <w:r>
        <w:rPr>
          <w:rFonts w:ascii="Times New Roman" w:hAnsi="Times New Roman"/>
          <w:sz w:val="22"/>
        </w:rPr>
        <w:t xml:space="preserve"> ........................... </w:t>
      </w:r>
      <w:r>
        <w:rPr>
          <w:rFonts w:ascii="Times New Roman" w:hAnsi="Times New Roman"/>
          <w:sz w:val="26"/>
        </w:rPr>
        <w:t>12</w:t>
      </w:r>
    </w:p>
    <w:p>
      <w:r>
        <w:br w:type="page"/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1.1. Наименование программы: Программный комплекс автоматизации и управления фитнес-клубом «FitClub» (краткое наименование – ПК «FitClub»). Шифр темы: FitClub-SPA-03.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1.2. Программный комплекс предназначен для применения в организациях спортивно-оздоровительной отрасли, фитнес-центрах и спортивных клубах различной вместимости в целях автоматизации комплексного обслуживания посетителей, ведения базы клиентов и расписания тренеров, реализации клубных абонементов, визуализации зон физических нагрузок и предоставления аналитики руководству.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 ОСНОВАНИЯ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2.1. Разработка программного комплекса ведется на основании утвержденной рабочей программы профессионального модуля «Разработка программных модулей программного обеспечения компьютерных систем» (УП.02 / УП.03) по специальности среднего профессионального образования 09.02.07 «Информационные системы и программирование».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2.2. Организация, утвердившая документ: Образовательное учреждение СПО.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2.3. Наименование темы разработки: «Разработка и внедрение клиент-серверного веб-приложения автоматизации деятельности фитнес-клуба с трехмерной моделью индивидуализации тренировочного процесса».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3. НАЗНАЧЕНИЕ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3.1. Функциональное назначение: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автоматизация взаимодействия между посетителями фитнес-клуба, тренерским составом и администрацией;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предоставление клиентам персонального кабинета с возможностью выбора тарифа, приобретения абонемента и онлайн-записи на тренировки;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визуализация целевых мышечных зон на интерактивной трехмерной модели тела человека для автоматического формирования рекомендаций по тренировкам;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ведение расписания индивидуальных и групповых программ, контроль посещаемости и статусов явок;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безопасная обработка платежных транзакций с проверкой банковских карт по алгоритму Луна;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формирование сводной аналитической информации о загрузке залов, посещаемости и финансовых поступлениях клуба.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3.2. Эксплуатационное назначение: эксплуатация в качестве кроссплатформенного веб-приложения (Single Page Application, SPA), доступного на стационарных и мобильных рабочих местах с использованием стандартных веб-браузеров.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 ТРЕБОВАНИЯ К ПРОГРАММЕ ИЛИ ПРОГРАММНОМУ ИЗДЕЛИЮ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4.1. Требования к функциональным характеристикам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4.1.1. Состав выполняемых функций: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Программный комплекс должен состоять из взаимосвязанных функциональных подсистем и обеспечивать выполнение следующих задач: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А) Подсистема авторизации и управления правами доступа: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регистрация учетных записей клиентов с валидацией имени, адреса электронной почты, телефона и пароля;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аутентификация пользователей с распределением полномочий по ролевой модели: «Клиент», «Тренер», «Администратор»;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сохранение и автоматическое продление пользовательской сессии с использованием защищенного локального хранилища браузера.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Б) Подсистема взаимодействия клиента («Личный кабинет клиента»):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просмотр сводного дашборда: статус и срок действия абонемента, время следующей тренировки, количество посещений;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выбор и оплата абонементов 4 категорий: Базовый, Стандарт, Премиум, Годовой;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просмотр интерактивного каталога сертифицированных тренеров с фильтрацией по специализациям, стажу и рейтингу;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просмотр недельного и месячного расписания занятий, оформление бронирования тренировочных слотов и отмена записи;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взаимодействие с модулем 3D-конструктора тела: выбор фокусных мышечных групп, индикация процента жировой ткани (диапазон 5–50%), расчет персональных рекомендаций по упражнениям и подбор тренера;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просмотр истории посещений и детальной детализации финансовых расходов;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отправка электронных обращений в техническую поддержку.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В) Подсистема рабочего места тренера («Кабинет тренера»):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отображение индивидуального графика тренировок по дням недели;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просмотр списков записанных клиентов, их контактных данных и истории занятий;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отметка факта присутствия или неявки клиента на назначенное занятие;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мониторинг индивидуальных показателей занятости и общего объема проведенных тренировок;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доступ к анатомическому 3D-модулю для анализа состояния и целей подопечных.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Г) Подсистема управления и аналитики («Панель администратора»):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мониторинг интегральных KPI клуба: число активных клиентов, общая выручка, посещаемость, средняя загрузка зон;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управление штатом тренеров (добавление, редактирование данных, блокировка профиля);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управление тарифной сеткой и характеристиками клубных карт;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формирование и редактирование глобального расписания групповых и индивидуальных занятий;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построение графических срезов динамики посещаемости по дням недели и часам пиковой нагрузки;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ведение единого реестра учетных записей пользователей комплекса.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Д) Платежный модуль (эквайринг):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ввод реквизитов карты: 16-значный номер, срок действия (месяц/год), CVC/CVV (3 цифры), держатель;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проверка корректности контрольной суммы номера карты по алгоритму Луна (MOD-10);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контроль срока валидности карты относительно текущей календарной даты;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генерация электронного квитанционного подтверждения об успешной оплате.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Е) Модуль 3D-визуализации тела: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рендеринг полигональной трехмерной анатомической фигуры средствами WebGL / Three.js;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поддержка интерактивного вращения, перемещения и масштабирования сцены;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интерактивное выделение мышечных групп (грудь, спина, руки, пресс, ноги, ягодицы) с изменением цветовой маркировки;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динамический подбор тренировочных программ и тренеров на основе выбранных анатомических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4.1.2. Организация входных данных: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регистрационные данные: ФИО, телефон стандарта E.164, адрес электронной почты по RFC 5322, пароль;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платежные реквизиты: номер платежной карты (16 цифр), срок (MM/YY), защитный код (3 цифры), имя владельца;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параметры бронирования: идентификаторы слота и тренера, дата, время;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антропометрические параметры: процент жира (целочисленный 5–50), перечень отмеченных мышечных групп.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4.1.3. Организация выходных данных: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интерактивный графический веб-интерфейс пользователя в соответствии с ролевыми правами;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электронные подтверждения бронирования и квитанции об оплате;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визуализированная 3D-сцена с цветовой дифференциацией целевых зон;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графики и структурированные таблицы отчетности администратора;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экранные сообщения системы о результатах выполнения операций и предупреждения об ошибках.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4.2. Требования к надежности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4.2.1. Программный комплекс должен обеспечивать стабильную и непрерывную работу в режиме 24/7 (за исключением плановых технологических окон технического обслуживания).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4.2.2. Устойчивость к ошибкам: все асинхронные цепочки вызовов и операции манипуляции данными должны быть инкапсулированы в блоки перехвата исключительных ситуаций try/catch с выводом корректных и понятных пользователю сообщений без аварийного прекращения работы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4.2.3. Защита данных: программный комплекс должен реализовывать обязательную фильтрацию и экранирование спецсимволов HTML для предотвращения атак типа межсайтового скриптинга (XSS) посредством служебных функций преобразования (&lt;, &gt;, &amp;, ", ').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4.2.4. Восстанавливаемость: при внезапном сбое браузера или потере сетевого соединения авторизационный статус пользователя и несохраненные данные текущей формы должны восстанавливаться из локального кэша LocalStorage.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4.2.5. Непрерывный мониторинг доступности (Health Check): контейнеризованный сервис должен поддерживать встроенную проверку работоспособности с периодом 30 секунд и таймаутом не более 3 секунд.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4.3. Условия эксплуатации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4.3.1. Климатические условия эксплуатации серверного оборудования: закрытые отапливаемые помещения ЦОД при температуре от +10 °C до +35 °C и влажности воздуха 40–80%.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4.3.2. Требования к персоналу: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администратор комплекса должен обладать базовыми знаниями в области администрирования веб-серверов Nginx, управления Docker-контейнерами и Git-репозиториями;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конечные пользователи (клиенты, тренеры) должны обладать общепользовательскими навыками работы с браузером и мобильными устройствами.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4.4. Требования к составу и параметрам технических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4.4.1. Минимальные параметры серверной платформы: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процессор архитектуры x86-64 с частотой от 2.0 ГГц (не менее 2 процессорных ядер);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объем оперативной памяти: не менее 2 Гбайт;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объем свободного дискового пространства: не менее 10 Гбайт (SSD);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сетевой контроллер с пропускной способностью от 100 Мбит/с.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4.4.2. Минимальные параметры клиентских устройств: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процессор с тактовой частотой не менее 1.5 ГГц;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объем оперативной памяти: не менее 2 Гбайт (рекомендуется от 4 Гбайт);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графический ускоритель с аппаратной поддержкой стандарта WebGL 1.0 / 2.0;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разрешение экрана: не менее 360х640 точек (адаптивная верстка под планшеты, смартфоны, ПК).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4.5. Требования к информационной и программной совместимости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4.5.1. Требования к программному обеспечению сервера: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операционная система: Linux (Ubuntu 20.04+, Debian 11+, Alpine Linux) или Windows Server 2019+;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среда выполнения контейнеров: Docker Engine версии не ниже 20.10, Docker Compose v2+;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сервер отдачи статического контента: Nginx 1.22+ с поддержкой сжатия gzip и HTTP/2.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4.5.2. Требования к программному обеспечению клиента (браузеры с поддержкой HTML5, ES6+, WebGL):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Google Chrome версии 90 и новее;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Mozilla Firefox версии 88 и новее;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Яндекс Браузер версии 21 и новее;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Apple Safari версии 14 и новее;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Microsoft Edge версии 90 и новее.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4.5.3. Требования к безопасности передачи данных: поддержка протокола HTTPS (TLS 1.2 / TLS 1.3), установка защитных HTTP-заголовков (Content-Security-Policy, X-Frame-Options, X-Content-Type-Options).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4.6. Требования к маркировке и упаковке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4.6.1. Программный комплекс поставляется в электронном виде в форме репозитория исходных кодов Git и сформированного Docker-образа (fitclub:latest).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4.6.2. Комплект проектных и сопроводительных документов поставляется в электронном формате DOCX и PDF в кодировке UTF-8.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4.7. Требования к транспортированию и хранению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4.7.1. Транспортирование программного изделия осуществляется по защищенным цифровым каналам связи (протоколы HTTPS, SSH).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4.7.2. Хранение эталонного экземпляра исходного кода и документации осуществляется в распределенной системе контроля версий на защищенных облачных или корпоративных серверах.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5.1. В состав разрабатываемой программной документации по ЕСПД должны входить следующие виды документов: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Техническое задание по ГОСТ 19.201-78 (настоящий документ);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Пояснительная записка по ГОСТ 19.404-79;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Описание программы по ГОСТ 19.402-78;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Описание применения (Руководство оператора/пользователя) по ГОСТ 19.505-79;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Программа и методика испытаний по ГОСТ 19.301-79.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5.2. Документация подлежит согласованию и утверждению в установленном порядке.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6.1. Ориентировочная экономическая эффективность достигается за счет следующих факторов: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сокращение среднего времени обслуживания и записи клиента на тренировки на 60–70% за счет автоматизации онлайн-платежей и каталога расписания;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снижение нагрузки на администраторов фитнес-центра на 40% благодаря переносу рутинных функций бронирования в личный кабинет клиента;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повышение прозрачности аналитического учета и минимизация человеческого фактора при ведении табеля посещений;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отсутствие лицензионных затрат на приобретение стороннего системного ПО за счет применения свободно распространяемых решений с открытым исходным кодом.</w:t>
      </w: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7. СТАДИИ И ЭТАПЫ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7.1. Стадии и этапы разработки определяются в соответствии с ГОСТ 19.102-77: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Номер этапа</w:t>
            </w:r>
          </w:p>
        </w:tc>
        <w:tc>
          <w:tcPr>
            <w:tcW w:type="dxa" w:w="31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стадии и этапа</w:t>
            </w:r>
          </w:p>
        </w:tc>
        <w:tc>
          <w:tcPr>
            <w:tcW w:type="dxa" w:w="48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Содержание выполняемых работ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Техническое задание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Предпроектное обследование, разработка и согласование технического задания по ГОСТ 19.201-78, определение функциональных требований.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Эскизный проект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Проектирование структуры данных, прототипирование макетов экранных форм пользовательского интерфейса, архитектуры SPA и 3D-модели.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Технический проект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Проектирование и разработка базовых программных модулей, реализация клиентской логики, интеграция стилей Glassmorphism и Three.js сцены.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Рабочий проект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Кодирование модулей валидации (алгоритм Луна), разработка автоматизированных тестов (21 тест, 6 сьютов), настройка CI/CD и Docker контейнеризации.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Внедрение и испытания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Проведение приемо-сдаточных испытаний по Программе и методике испытаний, ввод в опытную эксплуатацию, публикация на демонстрационном стенде.</w:t>
            </w:r>
          </w:p>
        </w:tc>
      </w:tr>
    </w:tbl>
    <w:p>
      <w:pPr>
        <w:spacing w:before="120"/>
      </w:pPr>
    </w:p>
    <w:p>
      <w:pPr>
        <w:keepNext/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8. ПОРЯДОК КОНТРОЛЯ И ПРИЕМКИ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8.1. Виды испытаний: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предварительные испытания: проверка корректности функционирования программных модулей разработчиком с использованием набора из 21 автоматизированного теста (сьюты: Аутентификация, Оплата, Расписание, Тренеры, Безопасность, Сквозной E2E-сценарий);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статический анализ кода: проверка разметки и скриптов в пайплайне CI/CD (GitHub Actions);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приемо-сдаточные испытания: комплексная проверка функционала программного изделия комиссией Заказчика в соответствии с утвержденной Программой и методикой испытаний.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8.2. Общие требования к приемке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приемка осуществляется комиссией, сформированной из уполномоченных представителей Заказчика и Исполнителя;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сдача-приемка оформляется двусторонним Актом приемки установленной формы;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– при обнаружении отклонений от требований настоящего Технического задания комиссия составляет ведомость дефектов с указанием сроков их устранения.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