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/>
        <w:jc w:val="center"/>
      </w:pPr>
      <w:r>
        <w:rPr>
          <w:rFonts w:ascii="Arial" w:hAnsi="Arial"/>
          <w:b/>
          <w:i w:val="0"/>
          <w:color w:val="6B7B8D"/>
          <w:sz w:val="22"/>
        </w:rPr>
        <w:t>VAL.PEA — REVUE DE PORTEFEUILLE</w:t>
      </w:r>
    </w:p>
    <w:p>
      <w:pPr>
        <w:spacing w:before="440"/>
        <w:jc w:val="center"/>
      </w:pPr>
      <w:r>
        <w:rPr>
          <w:rFonts w:ascii="Georgia" w:hAnsi="Georgia"/>
          <w:b/>
          <w:i w:val="0"/>
          <w:color w:val="0F2540"/>
          <w:sz w:val="48"/>
        </w:rPr>
        <w:t>Vendredi 22 mai 2026</w:t>
      </w:r>
    </w:p>
    <w:p>
      <w:pPr>
        <w:spacing w:before="80"/>
        <w:jc w:val="center"/>
      </w:pPr>
      <w:r>
        <w:rPr>
          <w:rFonts w:ascii="Arial" w:hAnsi="Arial"/>
          <w:b/>
          <w:i w:val="0"/>
          <w:color w:val="1A3A5C"/>
          <w:sz w:val="22"/>
        </w:rPr>
        <w:t>8 positions · Fiches individuelles · Avis détaillés</w:t>
      </w:r>
    </w:p>
    <w:p>
      <w:pPr>
        <w:spacing w:before="80"/>
        <w:jc w:val="center"/>
      </w:pPr>
      <w:r>
        <w:rPr>
          <w:rFonts w:ascii="Arial" w:hAnsi="Arial"/>
          <w:b w:val="0"/>
          <w:i/>
          <w:color w:val="888888"/>
          <w:sz w:val="18"/>
        </w:rPr>
        <w:t>Cours de clôture · Analyse géopolitique · Non-conseil</w:t>
      </w:r>
    </w:p>
    <w:p>
      <w:pPr>
        <w:spacing w:after="80"/>
      </w:pPr>
    </w:p>
    <w:p>
      <w:pPr>
        <w:spacing w:before="40" w:after="80"/>
      </w:pPr>
      <w:r>
        <w:rPr>
          <w:rFonts w:ascii="Arial" w:hAnsi="Arial"/>
          <w:b/>
          <w:i w:val="0"/>
          <w:color w:val="0F2540"/>
          <w:sz w:val="20"/>
        </w:rPr>
        <w:t>Valorisation : 11660€  |  Investi : 10776€  |  PV/MV : +884€ (+8.2%)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Ticker</w:t>
            </w:r>
          </w:p>
        </w:tc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Société</w:t>
            </w:r>
          </w:p>
        </w:tc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Qté</w:t>
            </w:r>
          </w:p>
        </w:tc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PRU</w:t>
            </w:r>
          </w:p>
        </w:tc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Cours</w:t>
            </w:r>
          </w:p>
        </w:tc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PV/MV %</w:t>
            </w:r>
          </w:p>
        </w:tc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PV/MV €</w:t>
            </w:r>
          </w:p>
        </w:tc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Score</w:t>
            </w:r>
          </w:p>
        </w:tc>
        <w:tc>
          <w:tcPr>
            <w:tcW w:type="dxa" w:w="1133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Avis</w:t>
            </w:r>
          </w:p>
        </w:tc>
      </w:tr>
      <w:tr>
        <w:tc>
          <w:tcPr>
            <w:tcW w:type="dxa" w:w="1133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ELIS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Elis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45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18.95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27.06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+42.8%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+365€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B 60/100</w:t>
            </w:r>
          </w:p>
        </w:tc>
        <w:tc>
          <w:tcPr>
            <w:tcW w:type="dxa" w:w="1133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6"/>
              </w:rPr>
              <w:t>⚪ HORS ZONE</w:t>
            </w:r>
          </w:p>
        </w:tc>
      </w:tr>
      <w:tr>
        <w:tc>
          <w:tcPr>
            <w:tcW w:type="dxa" w:w="1133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EL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EssilorLuxot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3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211.66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173.25</w:t>
            </w:r>
          </w:p>
        </w:tc>
        <w:tc>
          <w:tcPr>
            <w:tcW w:type="dxa" w:w="1133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6"/>
              </w:rPr>
              <w:t>-18.1%</w:t>
            </w:r>
          </w:p>
        </w:tc>
        <w:tc>
          <w:tcPr>
            <w:tcW w:type="dxa" w:w="1133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6"/>
              </w:rPr>
              <w:t>-115€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B 77/100</w:t>
            </w:r>
          </w:p>
        </w:tc>
        <w:tc>
          <w:tcPr>
            <w:tcW w:type="dxa" w:w="1133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6"/>
              </w:rPr>
              <w:t>STOP PROCHE</w:t>
            </w:r>
          </w:p>
        </w:tc>
      </w:tr>
      <w:tr>
        <w:tc>
          <w:tcPr>
            <w:tcW w:type="dxa" w:w="1133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RMS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Hermès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2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1795.95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1605.00</w:t>
            </w:r>
          </w:p>
        </w:tc>
        <w:tc>
          <w:tcPr>
            <w:tcW w:type="dxa" w:w="1133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6"/>
              </w:rPr>
              <w:t>-10.6%</w:t>
            </w:r>
          </w:p>
        </w:tc>
        <w:tc>
          <w:tcPr>
            <w:tcW w:type="dxa" w:w="1133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6"/>
              </w:rPr>
              <w:t>-382€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A 90/100</w:t>
            </w:r>
          </w:p>
        </w:tc>
        <w:tc>
          <w:tcPr>
            <w:tcW w:type="dxa" w:w="1133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6"/>
              </w:rPr>
              <w:t>ZONE ACTIVE</w:t>
            </w:r>
          </w:p>
        </w:tc>
      </w:tr>
      <w:tr>
        <w:tc>
          <w:tcPr>
            <w:tcW w:type="dxa" w:w="1133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AI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Air Liquide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10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159.31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180.38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+13.2%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+211€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A 77/100</w:t>
            </w:r>
          </w:p>
        </w:tc>
        <w:tc>
          <w:tcPr>
            <w:tcW w:type="dxa" w:w="1133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6"/>
              </w:rPr>
              <w:t>ZONE ACTIVE</w:t>
            </w:r>
          </w:p>
        </w:tc>
      </w:tr>
      <w:tr>
        <w:tc>
          <w:tcPr>
            <w:tcW w:type="dxa" w:w="1133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LR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Legrand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5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139.23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152.60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+9.6%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+67€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A 90/100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6B7280"/>
                <w:sz w:val="16"/>
              </w:rPr>
              <w:t>⚪ SURVEILLER</w:t>
            </w:r>
          </w:p>
        </w:tc>
      </w:tr>
      <w:tr>
        <w:tc>
          <w:tcPr>
            <w:tcW w:type="dxa" w:w="1133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SU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Schneider El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7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240.72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269.05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+11.8%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+198€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A 90/100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6B7280"/>
                <w:sz w:val="16"/>
              </w:rPr>
              <w:t>⚪ SURVEILLER</w:t>
            </w:r>
          </w:p>
        </w:tc>
      </w:tr>
      <w:tr>
        <w:tc>
          <w:tcPr>
            <w:tcW w:type="dxa" w:w="1133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HO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Thales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3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237.08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229.70</w:t>
            </w:r>
          </w:p>
        </w:tc>
        <w:tc>
          <w:tcPr>
            <w:tcW w:type="dxa" w:w="1133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6"/>
              </w:rPr>
              <w:t>-3.1%</w:t>
            </w:r>
          </w:p>
        </w:tc>
        <w:tc>
          <w:tcPr>
            <w:tcW w:type="dxa" w:w="1133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6"/>
              </w:rPr>
              <w:t>-22€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A 90/100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ZONE ACTIVE</w:t>
            </w:r>
          </w:p>
        </w:tc>
      </w:tr>
      <w:tr>
        <w:tc>
          <w:tcPr>
            <w:tcW w:type="dxa" w:w="1133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TTE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TotalEnergie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20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50.52</w:t>
            </w:r>
          </w:p>
        </w:tc>
        <w:tc>
          <w:tcPr>
            <w:tcW w:type="dxa" w:w="1133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78.65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+55.7%</w:t>
            </w:r>
          </w:p>
        </w:tc>
        <w:tc>
          <w:tcPr>
            <w:tcW w:type="dxa" w:w="1133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6"/>
              </w:rPr>
              <w:t>+563€</w:t>
            </w:r>
          </w:p>
        </w:tc>
        <w:tc>
          <w:tcPr>
            <w:tcW w:type="dxa" w:w="1133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6"/>
              </w:rPr>
              <w:t>B 75/100</w:t>
            </w:r>
          </w:p>
        </w:tc>
        <w:tc>
          <w:tcPr>
            <w:tcW w:type="dxa" w:w="1133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6"/>
              </w:rPr>
              <w:t>ZONE ACTIVE</w:t>
            </w:r>
          </w:p>
        </w:tc>
      </w:tr>
    </w:tbl>
    <w:p>
      <w:pPr>
        <w:spacing w:after="160"/>
      </w:pPr>
    </w:p>
    <w:p>
      <w:pPr>
        <w:spacing w:before="120" w:after="60"/>
      </w:pPr>
      <w:r>
        <w:rPr>
          <w:rFonts w:ascii="Arial" w:hAnsi="Arial"/>
          <w:b/>
          <w:i w:val="0"/>
          <w:color w:val="1D4ED8"/>
          <w:sz w:val="22"/>
        </w:rPr>
        <w:t>Analyse de marché — Nicolas Chéron (bimensuel)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FF6FF"/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i w:val="0"/>
                <w:color w:val="1D4ED8"/>
                <w:sz w:val="18"/>
              </w:rPr>
              <w:t>NOTE : Chéron publie son décryptage tous les 15 jours sur YouTube (Centrale des Marchés). Il analyse les indices (CAC40, S&amp;P500, DAX), les secteurs et 3-5 actions spécifiques avec niveaux techniques précis. Intégrer ses niveaux de résistance/support dans la surveillance des positions.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 (Chéron)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Analyse bimensuelle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CAC40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Surveiller support 7800 pts · Résistance 8200 pts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S&amp;P500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Tendance haussière long terme intacte · Support 5000 pts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EUR/USD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Zone 1.05-1.10 · Impact sur les positions exportatrices (AIR)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Taux 10 ans FR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&lt; 3.5% = favorable pour la valorisation des actions de croissance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Actions à surveiller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Consulter la dernière vidéo pour les niveaux spécifiques</w:t>
            </w:r>
          </w:p>
        </w:tc>
      </w:tr>
    </w:tbl>
    <w:p>
      <w:pPr>
        <w:spacing w:after="60"/>
      </w:pPr>
    </w:p>
    <w:p>
      <w:pPr>
        <w:spacing w:before="80" w:after="40"/>
      </w:pPr>
      <w:r>
        <w:rPr>
          <w:rFonts w:ascii="Arial" w:hAnsi="Arial"/>
          <w:b/>
          <w:i w:val="0"/>
          <w:color w:val="16A34A"/>
          <w:sz w:val="20"/>
        </w:rPr>
        <w:t>Suggestion de réallocation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Cash disponible ~365€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Opportunité de réallocation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EL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Zone 185.0-222.0€ · R/R 9.1x · Upside +41.4%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RMS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Zone 1520.0-1720.0€ · R/R 1.5x · Upside +24.6%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HO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Zone 228.0-268.0€ · R/R 2.6x · Upside +32.8%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[B]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ELIS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Elis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Services location-entretien  ·  45 titre(s)  ·  PRU 18.95€  ·  Score QARP 60/100</w:t>
            </w:r>
          </w:p>
        </w:tc>
        <w:tc>
          <w:tcPr>
            <w:tcW w:type="dxa" w:w="5100"/>
            <w:shd w:val="clear" w:color="auto" w:fill="1A3A5C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0D080"/>
                <w:sz w:val="36"/>
              </w:rPr>
              <w:t xml:space="preserve">+42.8%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+365€  |  val. 1218€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27.06€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888888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19.0€ – 24.0€  — hors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17.0€  (37.2%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28.0€  (+3.5%)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28.0€  (upside 3.5%)</w:t>
            </w:r>
          </w:p>
        </w:tc>
      </w:tr>
      <w:tr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8"/>
              </w:rPr>
              <w:t>R/R</w:t>
            </w:r>
          </w:p>
        </w:tc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0.1x  ⚠️ insuffisant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16.0%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 nette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10.0%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 yield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7.5%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Dette/EBITDA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3.5x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7/9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14.0x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✅ au-dessus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50.0 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Triptyque : 2/3 feux verts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Lecture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RSI 50.0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Zone valeur (25-60)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MM200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Cours &gt; MM200 (20.0€)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888888"/>
                <w:sz w:val="18"/>
              </w:rPr>
              <w:t>Zone DCF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— Hors zone (upside 3.5%)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 principaux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Elis : hôpitaux et hôtels ne peuvent pas se passer du linge professionnel. Contrats 5-7 ans, renouvellement 95%. Cash flows très prévisibles.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CAPEX permanent très lourd (8.5% CA). Dette élevée. Croissance lente.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Track record direction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Résultat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2025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Marge EBITDA 32%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FFBEB"/>
            <w:tcBorders>
              <w:top w:val="single" w:sz="4" w:color="D97706"/>
              <w:bottom w:val="single" w:sz="4" w:color="D97706"/>
              <w:left w:val="single" w:sz="20" w:color="D97706"/>
              <w:right w:val="single" w:sz="4" w:color="D97706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D97706"/>
                <w:sz w:val="22"/>
              </w:rPr>
              <w:t xml:space="preserve">⚪ HORS ZONE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Position en PV (42.8%). Cours hors zone. Conserver, ne pas renforcer. Surveiller retour vers 19.0€.</w:t>
            </w:r>
          </w:p>
        </w:tc>
      </w:tr>
    </w:tbl>
    <w:p>
      <w:pPr>
        <w:spacing w:after="40"/>
      </w:pPr>
    </w:p>
    <w:p>
      <w:pPr>
        <w:pBdr>
          <w:top w:val="single" w:sz="12" w:color="F0D080"/>
        </w:pBdr>
        <w:spacing w:before="20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[B]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EL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EssilorLuxottica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Optique  ·  3 titre(s)  ·  PRU 211.66€  ·  Score QARP 77/100</w:t>
            </w:r>
          </w:p>
        </w:tc>
        <w:tc>
          <w:tcPr>
            <w:tcW w:type="dxa" w:w="5100"/>
            <w:shd w:val="clear" w:color="auto" w:fill="3D1515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8888"/>
                <w:sz w:val="36"/>
              </w:rPr>
              <w:t xml:space="preserve">-18.1%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-115€  |  val. 520€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173.25€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185.0€ – 222.0€  ✅ cours en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165.0€  (4.8%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248.0€  (+43.1%)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245.0€  (upside 41.4%)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R/R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9.1x  ✅ favorable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13.0%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 nette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15.0%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 yield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7.5%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Dette/EBITDA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1.5x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7/9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28.0x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DC2626"/>
                <w:sz w:val="17"/>
              </w:rPr>
              <w:t>⚠️ en dessous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50.0 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Triptyque : 2/3 feux verts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Lecture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RSI 50.0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Zone valeur (25-60)</w:t>
            </w:r>
          </w:p>
        </w:tc>
      </w:tr>
      <w:tr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8"/>
              </w:rPr>
              <w:t>MM200</w:t>
            </w:r>
          </w:p>
        </w:tc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⚠️ Cours &lt; MM200 (205.0€)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DCF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En zone d'achat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 principaux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EssilorLuxottica contrôle toute la chaîne de valeur optique mondiale. Vieillissement population + smart glasses = croissance structurelle décennale.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28x PE pour 7-9% de croissance organique. Intégration encore en cours.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Track record direction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Résultat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2025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Synergies Essilor/Luxottica complètes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EE2E2"/>
            <w:tcBorders>
              <w:top w:val="single" w:sz="4" w:color="DC2626"/>
              <w:bottom w:val="single" w:sz="4" w:color="DC2626"/>
              <w:left w:val="single" w:sz="20" w:color="DC2626"/>
              <w:right w:val="single" w:sz="4" w:color="DC2626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DC2626"/>
                <w:sz w:val="22"/>
              </w:rPr>
              <w:t xml:space="preserve">⚠️ STOP PROCHE — distance critique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Stop à 165.0€. Distance : 4.8% seulement. Vente mécanique si atteint. Ne pas attendre le lundi.</w:t>
            </w:r>
          </w:p>
        </w:tc>
      </w:tr>
    </w:tbl>
    <w:p>
      <w:pPr>
        <w:spacing w:after="40"/>
      </w:pPr>
    </w:p>
    <w:p>
      <w:pPr>
        <w:pBdr>
          <w:top w:val="single" w:sz="12" w:color="F0D080"/>
        </w:pBdr>
        <w:spacing w:before="20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[A]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RMS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Hermès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Luxe  ·  2 titre(s)  ·  PRU 1795.95€  ·  Score QARP 90/100</w:t>
            </w:r>
          </w:p>
        </w:tc>
        <w:tc>
          <w:tcPr>
            <w:tcW w:type="dxa" w:w="5100"/>
            <w:shd w:val="clear" w:color="auto" w:fill="3D1515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8888"/>
                <w:sz w:val="36"/>
              </w:rPr>
              <w:t xml:space="preserve">-10.6%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-382€  |  val. 3210€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1605.0€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1520.0€ – 1720.0€  ✅ cours en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1380.0€  (14.0%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1950.0€  (+21.5%)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2000.0€  (upside 24.6%)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R/R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1.5x  ✅ favorable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36.0%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 nette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42.0%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 yield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10.5%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Dette/EBITDA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0.0x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9/9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50.0x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DC2626"/>
                <w:sz w:val="17"/>
              </w:rPr>
              <w:t>⚠️ en dessous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48.0 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Triptyque : 2/3 feux verts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Lecture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RSI 48.0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Zone valeur (25-60)</w:t>
            </w:r>
          </w:p>
        </w:tc>
      </w:tr>
      <w:tr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8"/>
              </w:rPr>
              <w:t>MM200</w:t>
            </w:r>
          </w:p>
        </w:tc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⚠️ Cours &lt; MM200 (1820.0€)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DCF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En zone d'achat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 principaux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Hermès est l'actif le plus unique de la bourse mondiale. 42% de marge, zéro dette, famille aux commandes depuis 6 générations. La liste d'attente Birkin immunise contre les cycles.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50x PE ne permet aucune erreur. Risque succession familiale. Contrefaçon croissante en Asie.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Track record direction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Résultat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2025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Marge op. 42% record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FFBEB"/>
            <w:tcBorders>
              <w:top w:val="single" w:sz="4" w:color="D97706"/>
              <w:bottom w:val="single" w:sz="4" w:color="D97706"/>
              <w:left w:val="single" w:sz="20" w:color="D97706"/>
              <w:right w:val="single" w:sz="4" w:color="D97706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D97706"/>
                <w:sz w:val="22"/>
              </w:rPr>
              <w:t xml:space="preserve">🟡 ZONE ACTIVE — R/R &lt; 2x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Cours en zone mais R/R 1.5x &lt; 2x. Garder la position, attendre retour vers 1520.0€ pour R/R ≥ 2x. Ne pas renforcer ici.</w:t>
            </w:r>
          </w:p>
        </w:tc>
      </w:tr>
    </w:tbl>
    <w:p>
      <w:pPr>
        <w:spacing w:after="40"/>
      </w:pPr>
    </w:p>
    <w:p>
      <w:pPr>
        <w:pBdr>
          <w:top w:val="single" w:sz="12" w:color="F0D080"/>
        </w:pBdr>
        <w:spacing w:before="20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[A]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AI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Air Liquide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Gaz industriels  ·  10 titre(s)  ·  PRU 159.31€  ·  Score QARP 77/100</w:t>
            </w:r>
          </w:p>
        </w:tc>
        <w:tc>
          <w:tcPr>
            <w:tcW w:type="dxa" w:w="5100"/>
            <w:shd w:val="clear" w:color="auto" w:fill="1A3A5C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0D080"/>
                <w:sz w:val="36"/>
              </w:rPr>
              <w:t xml:space="preserve">+13.2%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+211€  |  val. 1804€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180.38€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172.0€ – 195.0€  ✅ cours en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158.0€  (12.4%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210.0€  (+16.4%)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205.0€  (upside 13.6%)</w:t>
            </w:r>
          </w:p>
        </w:tc>
      </w:tr>
      <w:tr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8"/>
              </w:rPr>
              <w:t>R/R</w:t>
            </w:r>
          </w:p>
        </w:tc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1.3x  ⚠️ insuffisant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16.0%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 nette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13.0%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 yield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5.8%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Dette/EBITDA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1.8x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7/9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26.0x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✅ au-dessus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48.0 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Triptyque : 3/3 feux verts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Lecture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RSI 48.0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Zone valeur (25-60)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MM200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Cours &gt; MM200 (168.0€)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DCF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En zone d'achat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 principaux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Air Liquide est l'infrastructure invisible de l'industrie mondiale. 29 années consécutives de hausse du dividende. Contrats 15-20 ans take-or-pay = cash flows quasi-certains.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Valorisation premium. CAPEX très lourd (12.4% CA) pour l'hydrogène dont le retour reste incertain.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Track record direction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Résultat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2025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BPA +9%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2024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30ème hausse dividende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FFBEB"/>
            <w:tcBorders>
              <w:top w:val="single" w:sz="4" w:color="D97706"/>
              <w:bottom w:val="single" w:sz="4" w:color="D97706"/>
              <w:left w:val="single" w:sz="20" w:color="D97706"/>
              <w:right w:val="single" w:sz="4" w:color="D97706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D97706"/>
                <w:sz w:val="22"/>
              </w:rPr>
              <w:t xml:space="preserve">🟡 ZONE ACTIVE — R/R &lt; 2x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Cours en zone mais R/R 1.3x &lt; 2x. Garder la position, attendre retour vers 172.0€ pour R/R ≥ 2x. Ne pas renforcer ici.</w:t>
            </w:r>
          </w:p>
        </w:tc>
      </w:tr>
    </w:tbl>
    <w:p>
      <w:pPr>
        <w:spacing w:after="40"/>
      </w:pPr>
    </w:p>
    <w:p>
      <w:pPr>
        <w:pBdr>
          <w:top w:val="single" w:sz="12" w:color="F0D080"/>
        </w:pBdr>
        <w:spacing w:before="20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[A]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LR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Legrand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Électricité bâtiment  ·  5 titre(s)  ·  PRU 139.23€  ·  Score QARP 90/100</w:t>
            </w:r>
          </w:p>
        </w:tc>
        <w:tc>
          <w:tcPr>
            <w:tcW w:type="dxa" w:w="5100"/>
            <w:shd w:val="clear" w:color="auto" w:fill="1A3A5C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0D080"/>
                <w:sz w:val="36"/>
              </w:rPr>
              <w:t xml:space="preserve">+9.6%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+67€  |  val. 763€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152.6€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132.0€ – 158.0€  ✅ cours en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118.0€  (22.7%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172.0€  (+12.7%)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172.0€  (upside 12.7%)</w:t>
            </w:r>
          </w:p>
        </w:tc>
      </w:tr>
      <w:tr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8"/>
              </w:rPr>
              <w:t>R/R</w:t>
            </w:r>
          </w:p>
        </w:tc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0.6x  ⚠️ insuffisant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22.0%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 nette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18.0%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 yield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8.5%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Dette/EBITDA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1.2x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8/9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24.0x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✅ au-dessus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52.0 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Triptyque : 3/3 feux verts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Lecture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RSI 52.0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Zone valeur (25-60)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MM200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Cours &gt; MM200 (138.0€)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DCF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En zone d'achat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 principaux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Legrand — 24 années de hausse du BPA. Data centers = 25% du CA croissant à 20%/an. Famille aux commandes = alignement parfait.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Valorisation premium. Exposition bâtiment résidentiel qui souffre des taux.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Track record direction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Résultat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2025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Croissance organique +9%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2024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Data center +20%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8FAFC"/>
            <w:tcBorders>
              <w:top w:val="single" w:sz="4" w:color="6B7280"/>
              <w:bottom w:val="single" w:sz="4" w:color="6B7280"/>
              <w:left w:val="single" w:sz="20" w:color="6B7280"/>
              <w:right w:val="single" w:sz="4" w:color="6B7280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6B7280"/>
                <w:sz w:val="22"/>
              </w:rPr>
              <w:t xml:space="preserve">⚪ SURVEILLER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Position en PV de 9.6%. Surveiller chaque vendredi. Agir si zone atteinte avec R/R ≥ 2x.</w:t>
            </w:r>
          </w:p>
        </w:tc>
      </w:tr>
    </w:tbl>
    <w:p>
      <w:pPr>
        <w:spacing w:after="40"/>
      </w:pPr>
    </w:p>
    <w:p>
      <w:pPr>
        <w:pBdr>
          <w:top w:val="single" w:sz="12" w:color="F0D080"/>
        </w:pBdr>
        <w:spacing w:before="20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[A]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SU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Schneider Electric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Énergie &amp; Automatisation  ·  7 titre(s)  ·  PRU 240.72€  ·  Score QARP 90/100</w:t>
            </w:r>
          </w:p>
        </w:tc>
        <w:tc>
          <w:tcPr>
            <w:tcW w:type="dxa" w:w="5100"/>
            <w:shd w:val="clear" w:color="auto" w:fill="1A3A5C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0D080"/>
                <w:sz w:val="36"/>
              </w:rPr>
              <w:t xml:space="preserve">+11.8%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+198€  |  val. 1883€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269.05€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235.0€ – 278.0€  ✅ cours en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210.0€  (21.9%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305.0€  (+13.4%)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315.0€  (upside 17.1%)</w:t>
            </w:r>
          </w:p>
        </w:tc>
      </w:tr>
      <w:tr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8"/>
              </w:rPr>
              <w:t>R/R</w:t>
            </w:r>
          </w:p>
        </w:tc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0.6x  ⚠️ insuffisant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26.0%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 nette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15.0%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 yield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7.5%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Dette/EBITDA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8/9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28.0x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✅ au-dessus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58.0 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Triptyque : 3/3 feux verts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Lecture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RSI 58.0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Zone valeur (25-60)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MM200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Cours &gt; MM200 (245.0€)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DCF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En zone d'achat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 principaux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Schneider est au centre de trois mégatendances : électrification, digitalisation, data centers IA. La demande data centers double tous les 4 ans.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Valorisation premium. Forte exposition USD. Concurrence ABB et Siemens sur les segments IA.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Track record direction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Résultat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2025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Croissance organique +12%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8FAFC"/>
            <w:tcBorders>
              <w:top w:val="single" w:sz="4" w:color="6B7280"/>
              <w:bottom w:val="single" w:sz="4" w:color="6B7280"/>
              <w:left w:val="single" w:sz="20" w:color="6B7280"/>
              <w:right w:val="single" w:sz="4" w:color="6B7280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6B7280"/>
                <w:sz w:val="22"/>
              </w:rPr>
              <w:t xml:space="preserve">⚪ SURVEILLER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Position en PV de 11.8%. Surveiller chaque vendredi. Agir si zone atteinte avec R/R ≥ 2x.</w:t>
            </w:r>
          </w:p>
        </w:tc>
      </w:tr>
    </w:tbl>
    <w:p>
      <w:pPr>
        <w:spacing w:after="40"/>
      </w:pPr>
    </w:p>
    <w:p>
      <w:pPr>
        <w:pBdr>
          <w:top w:val="single" w:sz="12" w:color="F0D080"/>
        </w:pBdr>
        <w:spacing w:before="20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[A]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HO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Thales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Défense &amp; Technologie  ·  3 titre(s)  ·  PRU 237.08€  ·  Score QARP 90/100</w:t>
            </w:r>
          </w:p>
        </w:tc>
        <w:tc>
          <w:tcPr>
            <w:tcW w:type="dxa" w:w="5100"/>
            <w:shd w:val="clear" w:color="auto" w:fill="3D1515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8888"/>
                <w:sz w:val="36"/>
              </w:rPr>
              <w:t xml:space="preserve">-3.1%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-22€  |  val. 689€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229.7€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228.0€ – 268.0€  ✅ cours en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205.0€  (10.8%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295.0€  (+28.4%)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305.0€  (upside 32.8%)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R/R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2.6x  ✅ favorable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22.0%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 nette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11.0%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 yield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8.2%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Dette/EBITDA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1.2x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8/9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22.0x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DC2626"/>
                <w:sz w:val="17"/>
              </w:rPr>
              <w:t>⚠️ en dessous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58.0 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Triptyque : 2/3 feux verts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Lecture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RSI 58.0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Zone valeur (25-60)</w:t>
            </w:r>
          </w:p>
        </w:tc>
      </w:tr>
      <w:tr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8"/>
              </w:rPr>
              <w:t>MM200</w:t>
            </w:r>
          </w:p>
        </w:tc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⚠️ Cours &lt; MM200 (238.0€)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DCF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En zone d'achat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 principaux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Thales est le bénéficiaire direct du réarmement européen post-Ukraine. Cybersécurité + défense = deux mégatendances simultanées. Carnet de commandes record.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Exposition exportations gouvernementales. Valorisation déjà bien pricée à 22x PE.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Track record direction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Résultat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2025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Carnet commandes +18%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2024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Défense +25%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DCFCE7"/>
            <w:tcBorders>
              <w:top w:val="single" w:sz="4" w:color="16A34A"/>
              <w:bottom w:val="single" w:sz="4" w:color="16A34A"/>
              <w:left w:val="single" w:sz="20" w:color="16A34A"/>
              <w:right w:val="single" w:sz="4" w:color="16A34A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16A34A"/>
                <w:sz w:val="22"/>
              </w:rPr>
              <w:t xml:space="preserve">✅ ZONE ACTIVE — R/R favorable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Cours en zone, R/R 2.6x ≥ 2x. Score 90/100. Conditions réunies pour un renforcement ciblé (max +3% du PEA). Stop à 205.0€ à définir avant passage d'ordre.</w:t>
            </w:r>
          </w:p>
        </w:tc>
      </w:tr>
    </w:tbl>
    <w:p>
      <w:pPr>
        <w:spacing w:after="40"/>
      </w:pPr>
    </w:p>
    <w:p>
      <w:pPr>
        <w:pBdr>
          <w:top w:val="single" w:sz="12" w:color="F0D080"/>
        </w:pBdr>
        <w:spacing w:before="20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0D080"/>
                <w:sz w:val="24"/>
              </w:rPr>
              <w:t xml:space="preserve">[B] </w:t>
            </w:r>
            <w:r>
              <w:rPr>
                <w:rFonts w:ascii="Arial" w:hAnsi="Arial"/>
                <w:b/>
                <w:i w:val="0"/>
                <w:color w:val="F0D080"/>
                <w:sz w:val="34"/>
              </w:rPr>
              <w:t xml:space="preserve">TTE  </w:t>
            </w:r>
            <w:r>
              <w:rPr>
                <w:rFonts w:ascii="Arial" w:hAnsi="Arial"/>
                <w:b w:val="0"/>
                <w:i w:val="0"/>
                <w:color w:val="AABBCC"/>
                <w:sz w:val="19"/>
              </w:rPr>
              <w:t>TotalEnergies</w:t>
            </w:r>
          </w:p>
          <w:p>
            <w:r>
              <w:rPr>
                <w:rFonts w:ascii="Arial" w:hAnsi="Arial"/>
                <w:b w:val="0"/>
                <w:i w:val="0"/>
                <w:color w:val="AABBCC"/>
                <w:sz w:val="16"/>
              </w:rPr>
              <w:t>Énergie  ·  20 titre(s)  ·  PRU 50.52€  ·  Score QARP 75/100</w:t>
            </w:r>
          </w:p>
        </w:tc>
        <w:tc>
          <w:tcPr>
            <w:tcW w:type="dxa" w:w="5100"/>
            <w:shd w:val="clear" w:color="auto" w:fill="1A3A5C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0D080"/>
                <w:sz w:val="36"/>
              </w:rPr>
              <w:t xml:space="preserve">+55.7%  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AABBCC"/>
                <w:sz w:val="18"/>
              </w:rPr>
              <w:t>+563€  |  val. 1573€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Indicateur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/>
                <w:i w:val="0"/>
                <w:color w:val="0F2540"/>
                <w:sz w:val="18"/>
              </w:rPr>
              <w:t>Cours actuel</w:t>
            </w:r>
          </w:p>
        </w:tc>
        <w:tc>
          <w:tcPr>
            <w:tcW w:type="dxa" w:w="5100"/>
            <w:shd w:val="clear" w:color="auto" w:fill="F8FAFC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78.65€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achat [el–eh]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71.1€ – 85.3€  ✅ cours en zone</w:t>
            </w:r>
          </w:p>
        </w:tc>
      </w:tr>
      <w:tr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/>
                <w:i w:val="0"/>
                <w:color w:val="DC2626"/>
                <w:sz w:val="18"/>
              </w:rPr>
              <w:t>Stop Loss</w:t>
            </w:r>
          </w:p>
        </w:tc>
        <w:tc>
          <w:tcPr>
            <w:tcW w:type="dxa" w:w="5100"/>
            <w:shd w:val="clear" w:color="auto" w:fill="FEE2E2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62.5€  (20.5% de marge)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Objectif 1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96.6€  (+22.8%)</w:t>
            </w:r>
          </w:p>
        </w:tc>
      </w:tr>
      <w:tr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1D4ED8"/>
                <w:sz w:val="18"/>
              </w:rPr>
              <w:t>DCF Médian</w:t>
            </w:r>
          </w:p>
        </w:tc>
        <w:tc>
          <w:tcPr>
            <w:tcW w:type="dxa" w:w="5100"/>
            <w:shd w:val="clear" w:color="auto" w:fill="EFF6FF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99.5€  (upside 26.5%)</w:t>
            </w:r>
          </w:p>
        </w:tc>
      </w:tr>
      <w:tr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/>
                <w:i w:val="0"/>
                <w:color w:val="D97706"/>
                <w:sz w:val="18"/>
              </w:rPr>
              <w:t>R/R</w:t>
            </w:r>
          </w:p>
        </w:tc>
        <w:tc>
          <w:tcPr>
            <w:tcW w:type="dxa" w:w="5100"/>
            <w:shd w:val="clear" w:color="auto" w:fill="FFFBEB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1.1x  ⚠️ insuffisant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Ratio</w:t>
            </w:r>
          </w:p>
        </w:tc>
        <w:tc>
          <w:tcPr>
            <w:tcW w:type="dxa" w:w="255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Valeur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ROE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14.0%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Marge nette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8.0%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FCF yield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9.8%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Dette/EBITDA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1.2x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Piotroski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/>
                <w:i w:val="0"/>
                <w:color w:val="16A34A"/>
                <w:sz w:val="17"/>
              </w:rPr>
              <w:t>7/9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PE</w:t>
            </w:r>
          </w:p>
        </w:tc>
        <w:tc>
          <w:tcPr>
            <w:tcW w:type="dxa" w:w="2550"/>
            <w:shd w:val="clear" w:color="auto" w:fill="FAFAFA"/>
          </w:tcPr>
          <w:p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8.0x</w:t>
            </w:r>
          </w:p>
        </w:tc>
      </w:tr>
      <w:tr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MM200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✅ au-dessus</w:t>
            </w:r>
          </w:p>
        </w:tc>
        <w:tc>
          <w:tcPr>
            <w:tcW w:type="dxa" w:w="2550"/>
            <w:shd w:val="clear" w:color="auto" w:fill="EFF6FF"/>
          </w:tcPr>
          <w:p>
            <w:r>
              <w:rPr>
                <w:rFonts w:ascii="Arial" w:hAnsi="Arial"/>
                <w:b/>
                <w:i w:val="0"/>
                <w:color w:val="0F2540"/>
                <w:sz w:val="17"/>
              </w:rPr>
              <w:t>RSI</w:t>
            </w:r>
          </w:p>
        </w:tc>
        <w:tc>
          <w:tcPr>
            <w:tcW w:type="dxa" w:w="255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16A34A"/>
                <w:sz w:val="17"/>
              </w:rPr>
              <w:t>44.0 ✅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Triptyque : 3/3 feux verts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Lecture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RSI 44.0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Zone valeur (25-60)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MM200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Cours &gt; MM200 (58.0€)</w:t>
            </w:r>
          </w:p>
        </w:tc>
      </w:tr>
      <w:tr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Zone DCF</w:t>
            </w:r>
          </w:p>
        </w:tc>
        <w:tc>
          <w:tcPr>
            <w:tcW w:type="dxa" w:w="5100"/>
            <w:shd w:val="clear" w:color="auto" w:fill="DCFCE7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✅ En zone d'achat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6A34A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✅ Thèse haussière</w:t>
            </w:r>
          </w:p>
        </w:tc>
        <w:tc>
          <w:tcPr>
            <w:tcW w:type="dxa" w:w="5100"/>
            <w:shd w:val="clear" w:color="auto" w:fill="DC2626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❌ Risques principaux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1A4730"/>
                <w:sz w:val="17"/>
              </w:rPr>
              <w:t>TotalEnergies à 8x PE et 5.2% de yield avec LNG Canada opérationnel. Rachat d'actions massif soutient le cours.</w:t>
            </w:r>
          </w:p>
        </w:tc>
        <w:tc>
          <w:tcPr>
            <w:tcW w:type="dxa" w:w="5100"/>
            <w:shd w:val="clear" w:color="auto" w:fill="FFF5F5"/>
          </w:tcPr>
          <w:p>
            <w:r>
              <w:rPr>
                <w:rFonts w:ascii="Arial" w:hAnsi="Arial"/>
                <w:b w:val="0"/>
                <w:i w:val="0"/>
                <w:color w:val="7C2C2C"/>
                <w:sz w:val="17"/>
              </w:rPr>
              <w:t>Le pétrole à 60$ détruit la thèse si ça dure. Transition ENR consomme du capital sans retour immédiat.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Track record direction</w:t>
            </w:r>
          </w:p>
        </w:tc>
        <w:tc>
          <w:tcPr>
            <w:tcW w:type="dxa" w:w="5100"/>
            <w:shd w:val="clear" w:color="auto" w:fill="0F2540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Résultat</w:t>
            </w:r>
          </w:p>
        </w:tc>
      </w:tr>
      <w:tr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/>
                <w:i w:val="0"/>
                <w:color w:val="16A34A"/>
                <w:sz w:val="18"/>
              </w:rPr>
              <w:t>✓ 2025</w:t>
            </w:r>
          </w:p>
        </w:tc>
        <w:tc>
          <w:tcPr>
            <w:tcW w:type="dxa" w:w="5100"/>
            <w:shd w:val="clear" w:color="auto" w:fill="F0FDF4"/>
          </w:tcPr>
          <w:p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Dividende maintenu 5.2%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FFBEB"/>
            <w:tcBorders>
              <w:top w:val="single" w:sz="4" w:color="D97706"/>
              <w:bottom w:val="single" w:sz="4" w:color="D97706"/>
              <w:left w:val="single" w:sz="20" w:color="D97706"/>
              <w:right w:val="single" w:sz="4" w:color="D97706"/>
            </w:tcBorders>
          </w:tcPr>
          <w:p>
            <w:pPr>
              <w:spacing w:before="120" w:after="40"/>
            </w:pPr>
            <w:r>
              <w:rPr>
                <w:rFonts w:ascii="Arial" w:hAnsi="Arial"/>
                <w:b/>
                <w:i w:val="0"/>
                <w:color w:val="D97706"/>
                <w:sz w:val="22"/>
              </w:rPr>
              <w:t xml:space="preserve">🟡 ZONE ACTIVE — R/R &lt; 2x  </w:t>
            </w:r>
          </w:p>
          <w:p>
            <w:pPr>
              <w:spacing w:before="40" w:after="120"/>
            </w:pPr>
            <w:r>
              <w:rPr>
                <w:rFonts w:ascii="Arial" w:hAnsi="Arial"/>
                <w:b w:val="0"/>
                <w:i w:val="0"/>
                <w:color w:val="333333"/>
                <w:sz w:val="18"/>
              </w:rPr>
              <w:t>Cours en zone mais R/R 1.1x &lt; 2x. Garder la position, attendre retour vers 71.1€ pour R/R ≥ 2x. Ne pas renforcer ici.</w:t>
            </w:r>
          </w:p>
        </w:tc>
      </w:tr>
    </w:tbl>
    <w:p>
      <w:pPr>
        <w:spacing w:after="40"/>
      </w:pPr>
    </w:p>
    <w:p/>
    <w:p>
      <w:pPr>
        <w:jc w:val="center"/>
      </w:pPr>
      <w:r>
        <w:rPr>
          <w:i/>
          <w:color w:val="999999"/>
          <w:sz w:val="16"/>
        </w:rPr>
        <w:t>VAL.PEA · Revue de portefeuille · 22 mai 2026 · Cours de clôture · Non-conseil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