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rFonts w:ascii="Arial" w:hAnsi="Arial"/>
          <w:b/>
          <w:i w:val="0"/>
          <w:color w:val="6B7B8D"/>
          <w:sz w:val="22"/>
        </w:rPr>
        <w:t>VAL.PEA — SIGNAUX DU DIMANCHE</w:t>
      </w:r>
    </w:p>
    <w:p>
      <w:pPr>
        <w:spacing w:before="440"/>
        <w:jc w:val="center"/>
      </w:pPr>
      <w:r>
        <w:rPr>
          <w:rFonts w:ascii="Georgia" w:hAnsi="Georgia"/>
          <w:b/>
          <w:i w:val="0"/>
          <w:color w:val="0F2540"/>
          <w:sz w:val="48"/>
        </w:rPr>
        <w:t>Dimanche 17 mai 2026</w:t>
      </w:r>
    </w:p>
    <w:p>
      <w:pPr>
        <w:spacing w:before="80"/>
        <w:jc w:val="center"/>
      </w:pPr>
      <w:r>
        <w:rPr>
          <w:rFonts w:ascii="Arial" w:hAnsi="Arial"/>
          <w:b/>
          <w:i w:val="0"/>
          <w:color w:val="1A3A5C"/>
          <w:sz w:val="22"/>
        </w:rPr>
        <w:t>36 opportunité(s) · Grade A · Zone · Score ≥ 70/100</w:t>
      </w:r>
    </w:p>
    <w:p>
      <w:pPr>
        <w:spacing w:before="80"/>
        <w:jc w:val="center"/>
      </w:pPr>
      <w:r>
        <w:rPr>
          <w:rFonts w:ascii="Arial" w:hAnsi="Arial"/>
          <w:b w:val="0"/>
          <w:i/>
          <w:color w:val="888888"/>
          <w:sz w:val="18"/>
        </w:rPr>
        <w:t>Protocole : vérifier les 5 étapes avant tout achat · Non-conseil</w:t>
      </w:r>
    </w:p>
    <w:p>
      <w:pPr>
        <w:spacing w:after="80"/>
      </w:pPr>
    </w:p>
    <w:p>
      <w:pPr>
        <w:spacing w:before="40" w:after="80"/>
      </w:pPr>
      <w:r>
        <w:rPr>
          <w:rFonts w:ascii="Arial" w:hAnsi="Arial"/>
          <w:b/>
          <w:i w:val="0"/>
          <w:color w:val="16A34A"/>
          <w:sz w:val="20"/>
        </w:rPr>
        <w:t>36 action(s) remplissent les 3 conditions : Grade A + en zone d'achat + score ≥ 70/100.</w:t>
      </w:r>
    </w:p>
    <w:tbl>
      <w:tblPr>
        <w:tblStyle w:val="TableGrid"/>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020"/>
            <w:shd w:val="clear" w:color="auto" w:fill="0F2540"/>
          </w:tcPr>
          <w:p>
            <w:r>
              <w:rPr>
                <w:rFonts w:ascii="Arial" w:hAnsi="Arial"/>
                <w:b/>
                <w:i w:val="0"/>
                <w:color w:val="FFFFFF"/>
                <w:sz w:val="16"/>
              </w:rPr>
              <w:t>#</w:t>
            </w:r>
          </w:p>
        </w:tc>
        <w:tc>
          <w:tcPr>
            <w:tcW w:type="dxa" w:w="1020"/>
            <w:shd w:val="clear" w:color="auto" w:fill="0F2540"/>
          </w:tcPr>
          <w:p>
            <w:r>
              <w:rPr>
                <w:rFonts w:ascii="Arial" w:hAnsi="Arial"/>
                <w:b/>
                <w:i w:val="0"/>
                <w:color w:val="FFFFFF"/>
                <w:sz w:val="16"/>
              </w:rPr>
              <w:t>Ticker</w:t>
            </w:r>
          </w:p>
        </w:tc>
        <w:tc>
          <w:tcPr>
            <w:tcW w:type="dxa" w:w="1020"/>
            <w:shd w:val="clear" w:color="auto" w:fill="0F2540"/>
          </w:tcPr>
          <w:p>
            <w:r>
              <w:rPr>
                <w:rFonts w:ascii="Arial" w:hAnsi="Arial"/>
                <w:b/>
                <w:i w:val="0"/>
                <w:color w:val="FFFFFF"/>
                <w:sz w:val="16"/>
              </w:rPr>
              <w:t>Société</w:t>
            </w:r>
          </w:p>
        </w:tc>
        <w:tc>
          <w:tcPr>
            <w:tcW w:type="dxa" w:w="1020"/>
            <w:shd w:val="clear" w:color="auto" w:fill="0F2540"/>
          </w:tcPr>
          <w:p>
            <w:r>
              <w:rPr>
                <w:rFonts w:ascii="Arial" w:hAnsi="Arial"/>
                <w:b/>
                <w:i w:val="0"/>
                <w:color w:val="FFFFFF"/>
                <w:sz w:val="16"/>
              </w:rPr>
              <w:t>Score</w:t>
            </w:r>
          </w:p>
        </w:tc>
        <w:tc>
          <w:tcPr>
            <w:tcW w:type="dxa" w:w="1020"/>
            <w:shd w:val="clear" w:color="auto" w:fill="0F2540"/>
          </w:tcPr>
          <w:p>
            <w:r>
              <w:rPr>
                <w:rFonts w:ascii="Arial" w:hAnsi="Arial"/>
                <w:b/>
                <w:i w:val="0"/>
                <w:color w:val="FFFFFF"/>
                <w:sz w:val="16"/>
              </w:rPr>
              <w:t>Zone</w:t>
            </w:r>
          </w:p>
        </w:tc>
        <w:tc>
          <w:tcPr>
            <w:tcW w:type="dxa" w:w="1020"/>
            <w:shd w:val="clear" w:color="auto" w:fill="0F2540"/>
          </w:tcPr>
          <w:p>
            <w:r>
              <w:rPr>
                <w:rFonts w:ascii="Arial" w:hAnsi="Arial"/>
                <w:b/>
                <w:i w:val="0"/>
                <w:color w:val="FFFFFF"/>
                <w:sz w:val="16"/>
              </w:rPr>
              <w:t>R/R</w:t>
            </w:r>
          </w:p>
        </w:tc>
        <w:tc>
          <w:tcPr>
            <w:tcW w:type="dxa" w:w="1020"/>
            <w:shd w:val="clear" w:color="auto" w:fill="0F2540"/>
          </w:tcPr>
          <w:p>
            <w:r>
              <w:rPr>
                <w:rFonts w:ascii="Arial" w:hAnsi="Arial"/>
                <w:b/>
                <w:i w:val="0"/>
                <w:color w:val="FFFFFF"/>
                <w:sz w:val="16"/>
              </w:rPr>
              <w:t>Upside DCF</w:t>
            </w:r>
          </w:p>
        </w:tc>
        <w:tc>
          <w:tcPr>
            <w:tcW w:type="dxa" w:w="1020"/>
            <w:shd w:val="clear" w:color="auto" w:fill="0F2540"/>
          </w:tcPr>
          <w:p>
            <w:r>
              <w:rPr>
                <w:rFonts w:ascii="Arial" w:hAnsi="Arial"/>
                <w:b/>
                <w:i w:val="0"/>
                <w:color w:val="FFFFFF"/>
                <w:sz w:val="16"/>
              </w:rPr>
              <w:t>RSI</w:t>
            </w:r>
          </w:p>
        </w:tc>
        <w:tc>
          <w:tcPr>
            <w:tcW w:type="dxa" w:w="1020"/>
            <w:shd w:val="clear" w:color="auto" w:fill="0F2540"/>
          </w:tcPr>
          <w:p>
            <w:r>
              <w:rPr>
                <w:rFonts w:ascii="Arial" w:hAnsi="Arial"/>
                <w:b/>
                <w:i w:val="0"/>
                <w:color w:val="FFFFFF"/>
                <w:sz w:val="16"/>
              </w:rPr>
              <w:t>MM200</w:t>
            </w:r>
          </w:p>
        </w:tc>
        <w:tc>
          <w:tcPr>
            <w:tcW w:type="dxa" w:w="1020"/>
            <w:shd w:val="clear" w:color="auto" w:fill="0F2540"/>
          </w:tcPr>
          <w:p>
            <w:r>
              <w:rPr>
                <w:rFonts w:ascii="Arial" w:hAnsi="Arial"/>
                <w:b/>
                <w:i w:val="0"/>
                <w:color w:val="FFFFFF"/>
                <w:sz w:val="16"/>
              </w:rPr>
              <w:t>Pio.</w:t>
            </w:r>
          </w:p>
        </w:tc>
      </w:tr>
      <w:tr>
        <w:tc>
          <w:tcPr>
            <w:tcW w:type="dxa" w:w="1020"/>
            <w:shd w:val="clear" w:color="auto" w:fill="F0FDF4"/>
          </w:tcPr>
          <w:p>
            <w:r>
              <w:rPr>
                <w:rFonts w:ascii="Arial" w:hAnsi="Arial"/>
                <w:b/>
                <w:i w:val="0"/>
                <w:color w:val="16A34A"/>
                <w:sz w:val="17"/>
              </w:rPr>
              <w:t>1</w:t>
            </w:r>
          </w:p>
        </w:tc>
        <w:tc>
          <w:tcPr>
            <w:tcW w:type="dxa" w:w="1020"/>
            <w:shd w:val="clear" w:color="auto" w:fill="EFF6FF"/>
          </w:tcPr>
          <w:p>
            <w:r>
              <w:rPr>
                <w:rFonts w:ascii="Arial" w:hAnsi="Arial"/>
                <w:b/>
                <w:i w:val="0"/>
                <w:color w:val="0F2540"/>
                <w:sz w:val="17"/>
              </w:rPr>
              <w:t>ADYEN</w:t>
            </w:r>
          </w:p>
        </w:tc>
        <w:tc>
          <w:tcPr>
            <w:tcW w:type="dxa" w:w="1020"/>
            <w:shd w:val="clear" w:color="auto" w:fill="FAFAFA"/>
          </w:tcPr>
          <w:p>
            <w:r>
              <w:rPr>
                <w:rFonts w:ascii="Arial" w:hAnsi="Arial"/>
                <w:b w:val="0"/>
                <w:i w:val="0"/>
                <w:color w:val="333333"/>
                <w:sz w:val="17"/>
              </w:rPr>
              <w:t>Adyen</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1050.0–1250.0€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+51.5%</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w:t>
            </w:r>
          </w:p>
        </w:tc>
        <w:tc>
          <w:tcPr>
            <w:tcW w:type="dxa" w:w="1020"/>
            <w:shd w:val="clear" w:color="auto" w:fill="EFF6FF"/>
          </w:tcPr>
          <w:p>
            <w:r>
              <w:rPr>
                <w:rFonts w:ascii="Arial" w:hAnsi="Arial"/>
                <w:b/>
                <w:i w:val="0"/>
                <w:color w:val="0F2540"/>
                <w:sz w:val="17"/>
              </w:rPr>
              <w:t>NOVO</w:t>
            </w:r>
          </w:p>
        </w:tc>
        <w:tc>
          <w:tcPr>
            <w:tcW w:type="dxa" w:w="1020"/>
            <w:shd w:val="clear" w:color="auto" w:fill="FAFAFA"/>
          </w:tcPr>
          <w:p>
            <w:r>
              <w:rPr>
                <w:rFonts w:ascii="Arial" w:hAnsi="Arial"/>
                <w:b w:val="0"/>
                <w:i w:val="0"/>
                <w:color w:val="333333"/>
                <w:sz w:val="17"/>
              </w:rPr>
              <w:t>Novo Nordisk</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72.0–92.0€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+186.7%</w:t>
            </w:r>
          </w:p>
        </w:tc>
        <w:tc>
          <w:tcPr>
            <w:tcW w:type="dxa" w:w="1020"/>
            <w:shd w:val="clear" w:color="auto" w:fill="DCFCE7"/>
          </w:tcPr>
          <w:p>
            <w:r>
              <w:rPr>
                <w:rFonts w:ascii="Arial" w:hAnsi="Arial"/>
                <w:b w:val="0"/>
                <w:i w:val="0"/>
                <w:color w:val="16A34A"/>
                <w:sz w:val="17"/>
              </w:rPr>
              <w:t>38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3</w:t>
            </w:r>
          </w:p>
        </w:tc>
        <w:tc>
          <w:tcPr>
            <w:tcW w:type="dxa" w:w="1020"/>
            <w:shd w:val="clear" w:color="auto" w:fill="EFF6FF"/>
          </w:tcPr>
          <w:p>
            <w:r>
              <w:rPr>
                <w:rFonts w:ascii="Arial" w:hAnsi="Arial"/>
                <w:b/>
                <w:i w:val="0"/>
                <w:color w:val="0F2540"/>
                <w:sz w:val="17"/>
              </w:rPr>
              <w:t>SAP</w:t>
            </w:r>
          </w:p>
        </w:tc>
        <w:tc>
          <w:tcPr>
            <w:tcW w:type="dxa" w:w="1020"/>
            <w:shd w:val="clear" w:color="auto" w:fill="FAFAFA"/>
          </w:tcPr>
          <w:p>
            <w:r>
              <w:rPr>
                <w:rFonts w:ascii="Arial" w:hAnsi="Arial"/>
                <w:b w:val="0"/>
                <w:i w:val="0"/>
                <w:color w:val="333333"/>
                <w:sz w:val="17"/>
              </w:rPr>
              <w:t>SAP</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210.0–248.0€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+79.1%</w:t>
            </w:r>
          </w:p>
        </w:tc>
        <w:tc>
          <w:tcPr>
            <w:tcW w:type="dxa" w:w="1020"/>
            <w:shd w:val="clear" w:color="auto" w:fill="DCFCE7"/>
          </w:tcPr>
          <w:p>
            <w:r>
              <w:rPr>
                <w:rFonts w:ascii="Arial" w:hAnsi="Arial"/>
                <w:b w:val="0"/>
                <w:i w:val="0"/>
                <w:color w:val="16A34A"/>
                <w:sz w:val="17"/>
              </w:rPr>
              <w:t>58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4</w:t>
            </w:r>
          </w:p>
        </w:tc>
        <w:tc>
          <w:tcPr>
            <w:tcW w:type="dxa" w:w="1020"/>
            <w:shd w:val="clear" w:color="auto" w:fill="EFF6FF"/>
          </w:tcPr>
          <w:p>
            <w:r>
              <w:rPr>
                <w:rFonts w:ascii="Arial" w:hAnsi="Arial"/>
                <w:b/>
                <w:i w:val="0"/>
                <w:color w:val="0F2540"/>
                <w:sz w:val="17"/>
              </w:rPr>
              <w:t>INTERPARFUMS</w:t>
            </w:r>
          </w:p>
        </w:tc>
        <w:tc>
          <w:tcPr>
            <w:tcW w:type="dxa" w:w="1020"/>
            <w:shd w:val="clear" w:color="auto" w:fill="FAFAFA"/>
          </w:tcPr>
          <w:p>
            <w:r>
              <w:rPr>
                <w:rFonts w:ascii="Arial" w:hAnsi="Arial"/>
                <w:b w:val="0"/>
                <w:i w:val="0"/>
                <w:color w:val="333333"/>
                <w:sz w:val="17"/>
              </w:rPr>
              <w:t>Interparfums</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+116.0%</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5</w:t>
            </w:r>
          </w:p>
        </w:tc>
        <w:tc>
          <w:tcPr>
            <w:tcW w:type="dxa" w:w="1020"/>
            <w:shd w:val="clear" w:color="auto" w:fill="EFF6FF"/>
          </w:tcPr>
          <w:p>
            <w:r>
              <w:rPr>
                <w:rFonts w:ascii="Arial" w:hAnsi="Arial"/>
                <w:b/>
                <w:i w:val="0"/>
                <w:color w:val="0F2540"/>
                <w:sz w:val="17"/>
              </w:rPr>
              <w:t>KZATM</w:t>
            </w:r>
          </w:p>
        </w:tc>
        <w:tc>
          <w:tcPr>
            <w:tcW w:type="dxa" w:w="1020"/>
            <w:shd w:val="clear" w:color="auto" w:fill="FAFAFA"/>
          </w:tcPr>
          <w:p>
            <w:r>
              <w:rPr>
                <w:rFonts w:ascii="Arial" w:hAnsi="Arial"/>
                <w:b w:val="0"/>
                <w:i w:val="0"/>
                <w:color w:val="333333"/>
                <w:sz w:val="17"/>
              </w:rPr>
              <w:t>Kazatomprom</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15.5–19.5€</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+22.2%</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6</w:t>
            </w:r>
          </w:p>
        </w:tc>
        <w:tc>
          <w:tcPr>
            <w:tcW w:type="dxa" w:w="1020"/>
            <w:shd w:val="clear" w:color="auto" w:fill="EFF6FF"/>
          </w:tcPr>
          <w:p>
            <w:r>
              <w:rPr>
                <w:rFonts w:ascii="Arial" w:hAnsi="Arial"/>
                <w:b/>
                <w:i w:val="0"/>
                <w:color w:val="0F2540"/>
                <w:sz w:val="17"/>
              </w:rPr>
              <w:t>DIORCDI</w:t>
            </w:r>
          </w:p>
        </w:tc>
        <w:tc>
          <w:tcPr>
            <w:tcW w:type="dxa" w:w="1020"/>
            <w:shd w:val="clear" w:color="auto" w:fill="FAFAFA"/>
          </w:tcPr>
          <w:p>
            <w:r>
              <w:rPr>
                <w:rFonts w:ascii="Arial" w:hAnsi="Arial"/>
                <w:b w:val="0"/>
                <w:i w:val="0"/>
                <w:color w:val="333333"/>
                <w:sz w:val="17"/>
              </w:rPr>
              <w:t>Christian Dior</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595.0–680.0€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+73.1%</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7</w:t>
            </w:r>
          </w:p>
        </w:tc>
        <w:tc>
          <w:tcPr>
            <w:tcW w:type="dxa" w:w="1020"/>
            <w:shd w:val="clear" w:color="auto" w:fill="EFF6FF"/>
          </w:tcPr>
          <w:p>
            <w:r>
              <w:rPr>
                <w:rFonts w:ascii="Arial" w:hAnsi="Arial"/>
                <w:b/>
                <w:i w:val="0"/>
                <w:color w:val="0F2540"/>
                <w:sz w:val="17"/>
              </w:rPr>
              <w:t>MLJR</w:t>
            </w:r>
          </w:p>
        </w:tc>
        <w:tc>
          <w:tcPr>
            <w:tcW w:type="dxa" w:w="1020"/>
            <w:shd w:val="clear" w:color="auto" w:fill="FAFAFA"/>
          </w:tcPr>
          <w:p>
            <w:r>
              <w:rPr>
                <w:rFonts w:ascii="Arial" w:hAnsi="Arial"/>
                <w:b w:val="0"/>
                <w:i w:val="0"/>
                <w:color w:val="333333"/>
                <w:sz w:val="17"/>
              </w:rPr>
              <w:t>Jean Rousseau</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+20.0%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8</w:t>
            </w:r>
          </w:p>
        </w:tc>
        <w:tc>
          <w:tcPr>
            <w:tcW w:type="dxa" w:w="1020"/>
            <w:shd w:val="clear" w:color="auto" w:fill="EFF6FF"/>
          </w:tcPr>
          <w:p>
            <w:r>
              <w:rPr>
                <w:rFonts w:ascii="Arial" w:hAnsi="Arial"/>
                <w:b/>
                <w:i w:val="0"/>
                <w:color w:val="0F2540"/>
                <w:sz w:val="17"/>
              </w:rPr>
              <w:t>INTPRF</w:t>
            </w:r>
          </w:p>
        </w:tc>
        <w:tc>
          <w:tcPr>
            <w:tcW w:type="dxa" w:w="1020"/>
            <w:shd w:val="clear" w:color="auto" w:fill="FAFAFA"/>
          </w:tcPr>
          <w:p>
            <w:r>
              <w:rPr>
                <w:rFonts w:ascii="Arial" w:hAnsi="Arial"/>
                <w:b w:val="0"/>
                <w:i w:val="0"/>
                <w:color w:val="333333"/>
                <w:sz w:val="17"/>
              </w:rPr>
              <w:t>Interparfums</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45.0–56.0€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+179.0%</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9</w:t>
            </w:r>
          </w:p>
        </w:tc>
        <w:tc>
          <w:tcPr>
            <w:tcW w:type="dxa" w:w="1020"/>
            <w:shd w:val="clear" w:color="auto" w:fill="EFF6FF"/>
          </w:tcPr>
          <w:p>
            <w:r>
              <w:rPr>
                <w:rFonts w:ascii="Arial" w:hAnsi="Arial"/>
                <w:b/>
                <w:i w:val="0"/>
                <w:color w:val="0F2540"/>
                <w:sz w:val="17"/>
              </w:rPr>
              <w:t>RMS</w:t>
            </w:r>
          </w:p>
        </w:tc>
        <w:tc>
          <w:tcPr>
            <w:tcW w:type="dxa" w:w="1020"/>
            <w:shd w:val="clear" w:color="auto" w:fill="FAFAFA"/>
          </w:tcPr>
          <w:p>
            <w:r>
              <w:rPr>
                <w:rFonts w:ascii="Arial" w:hAnsi="Arial"/>
                <w:b w:val="0"/>
                <w:i w:val="0"/>
                <w:color w:val="333333"/>
                <w:sz w:val="17"/>
              </w:rPr>
              <w:t>Hermès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1520.0–1720.0€</w:t>
            </w:r>
          </w:p>
        </w:tc>
        <w:tc>
          <w:tcPr>
            <w:tcW w:type="dxa" w:w="1020"/>
            <w:shd w:val="clear" w:color="auto" w:fill="DCFCE7"/>
          </w:tcPr>
          <w:p>
            <w:r>
              <w:rPr>
                <w:rFonts w:ascii="Arial" w:hAnsi="Arial"/>
                <w:b/>
                <w:i w:val="0"/>
                <w:color w:val="16A34A"/>
                <w:sz w:val="17"/>
              </w:rPr>
              <w:t>1.9x</w:t>
            </w:r>
          </w:p>
        </w:tc>
        <w:tc>
          <w:tcPr>
            <w:tcW w:type="dxa" w:w="1020"/>
            <w:shd w:val="clear" w:color="auto" w:fill="DCFCE7"/>
          </w:tcPr>
          <w:p>
            <w:r>
              <w:rPr>
                <w:rFonts w:ascii="Arial" w:hAnsi="Arial"/>
                <w:b w:val="0"/>
                <w:i w:val="0"/>
                <w:color w:val="16A34A"/>
                <w:sz w:val="17"/>
              </w:rPr>
              <w:t>+26.9%</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10</w:t>
            </w:r>
          </w:p>
        </w:tc>
        <w:tc>
          <w:tcPr>
            <w:tcW w:type="dxa" w:w="1020"/>
            <w:shd w:val="clear" w:color="auto" w:fill="EFF6FF"/>
          </w:tcPr>
          <w:p>
            <w:r>
              <w:rPr>
                <w:rFonts w:ascii="Arial" w:hAnsi="Arial"/>
                <w:b/>
                <w:i w:val="0"/>
                <w:color w:val="0F2540"/>
                <w:sz w:val="17"/>
              </w:rPr>
              <w:t>SU</w:t>
            </w:r>
          </w:p>
        </w:tc>
        <w:tc>
          <w:tcPr>
            <w:tcW w:type="dxa" w:w="1020"/>
            <w:shd w:val="clear" w:color="auto" w:fill="FAFAFA"/>
          </w:tcPr>
          <w:p>
            <w:r>
              <w:rPr>
                <w:rFonts w:ascii="Arial" w:hAnsi="Arial"/>
                <w:b w:val="0"/>
                <w:i w:val="0"/>
                <w:color w:val="333333"/>
                <w:sz w:val="17"/>
              </w:rPr>
              <w:t>Schneider Elec</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235.0–278.0€</w:t>
            </w:r>
          </w:p>
        </w:tc>
        <w:tc>
          <w:tcPr>
            <w:tcW w:type="dxa" w:w="1020"/>
            <w:shd w:val="clear" w:color="auto" w:fill="FFFBEB"/>
          </w:tcPr>
          <w:p>
            <w:r>
              <w:rPr>
                <w:rFonts w:ascii="Arial" w:hAnsi="Arial"/>
                <w:b/>
                <w:i w:val="0"/>
                <w:color w:val="D97706"/>
                <w:sz w:val="17"/>
              </w:rPr>
              <w:t>0.8x</w:t>
            </w:r>
          </w:p>
        </w:tc>
        <w:tc>
          <w:tcPr>
            <w:tcW w:type="dxa" w:w="1020"/>
            <w:shd w:val="clear" w:color="auto" w:fill="DCFCE7"/>
          </w:tcPr>
          <w:p>
            <w:r>
              <w:rPr>
                <w:rFonts w:ascii="Arial" w:hAnsi="Arial"/>
                <w:b w:val="0"/>
                <w:i w:val="0"/>
                <w:color w:val="16A34A"/>
                <w:sz w:val="17"/>
              </w:rPr>
              <w:t>+19.4%</w:t>
            </w:r>
          </w:p>
        </w:tc>
        <w:tc>
          <w:tcPr>
            <w:tcW w:type="dxa" w:w="1020"/>
            <w:shd w:val="clear" w:color="auto" w:fill="DCFCE7"/>
          </w:tcPr>
          <w:p>
            <w:r>
              <w:rPr>
                <w:rFonts w:ascii="Arial" w:hAnsi="Arial"/>
                <w:b w:val="0"/>
                <w:i w:val="0"/>
                <w:color w:val="16A34A"/>
                <w:sz w:val="17"/>
              </w:rPr>
              <w:t>58</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11</w:t>
            </w:r>
          </w:p>
        </w:tc>
        <w:tc>
          <w:tcPr>
            <w:tcW w:type="dxa" w:w="1020"/>
            <w:shd w:val="clear" w:color="auto" w:fill="EFF6FF"/>
          </w:tcPr>
          <w:p>
            <w:r>
              <w:rPr>
                <w:rFonts w:ascii="Arial" w:hAnsi="Arial"/>
                <w:b/>
                <w:i w:val="0"/>
                <w:color w:val="0F2540"/>
                <w:sz w:val="17"/>
              </w:rPr>
              <w:t>LR</w:t>
            </w:r>
          </w:p>
        </w:tc>
        <w:tc>
          <w:tcPr>
            <w:tcW w:type="dxa" w:w="1020"/>
            <w:shd w:val="clear" w:color="auto" w:fill="FAFAFA"/>
          </w:tcPr>
          <w:p>
            <w:r>
              <w:rPr>
                <w:rFonts w:ascii="Arial" w:hAnsi="Arial"/>
                <w:b w:val="0"/>
                <w:i w:val="0"/>
                <w:color w:val="333333"/>
                <w:sz w:val="17"/>
              </w:rPr>
              <w:t>Legrand</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132.0–158.0€</w:t>
            </w:r>
          </w:p>
        </w:tc>
        <w:tc>
          <w:tcPr>
            <w:tcW w:type="dxa" w:w="1020"/>
            <w:shd w:val="clear" w:color="auto" w:fill="FFFBEB"/>
          </w:tcPr>
          <w:p>
            <w:r>
              <w:rPr>
                <w:rFonts w:ascii="Arial" w:hAnsi="Arial"/>
                <w:b/>
                <w:i w:val="0"/>
                <w:color w:val="D97706"/>
                <w:sz w:val="17"/>
              </w:rPr>
              <w:t>0.6x</w:t>
            </w:r>
          </w:p>
        </w:tc>
        <w:tc>
          <w:tcPr>
            <w:tcW w:type="dxa" w:w="1020"/>
            <w:shd w:val="clear" w:color="auto" w:fill="DCFCE7"/>
          </w:tcPr>
          <w:p>
            <w:r>
              <w:rPr>
                <w:rFonts w:ascii="Arial" w:hAnsi="Arial"/>
                <w:b w:val="0"/>
                <w:i w:val="0"/>
                <w:color w:val="16A34A"/>
                <w:sz w:val="17"/>
              </w:rPr>
              <w:t>+13.1%</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12</w:t>
            </w:r>
          </w:p>
        </w:tc>
        <w:tc>
          <w:tcPr>
            <w:tcW w:type="dxa" w:w="1020"/>
            <w:shd w:val="clear" w:color="auto" w:fill="EFF6FF"/>
          </w:tcPr>
          <w:p>
            <w:r>
              <w:rPr>
                <w:rFonts w:ascii="Arial" w:hAnsi="Arial"/>
                <w:b/>
                <w:i w:val="0"/>
                <w:color w:val="0F2540"/>
                <w:sz w:val="17"/>
              </w:rPr>
              <w:t>ABCA</w:t>
            </w:r>
          </w:p>
        </w:tc>
        <w:tc>
          <w:tcPr>
            <w:tcW w:type="dxa" w:w="1020"/>
            <w:shd w:val="clear" w:color="auto" w:fill="FAFAFA"/>
          </w:tcPr>
          <w:p>
            <w:r>
              <w:rPr>
                <w:rFonts w:ascii="Arial" w:hAnsi="Arial"/>
                <w:b w:val="0"/>
                <w:i w:val="0"/>
                <w:color w:val="333333"/>
                <w:sz w:val="17"/>
              </w:rPr>
              <w:t>ABC Arbitrage</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6.0–7.2€</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+10.3%</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13</w:t>
            </w:r>
          </w:p>
        </w:tc>
        <w:tc>
          <w:tcPr>
            <w:tcW w:type="dxa" w:w="1020"/>
            <w:shd w:val="clear" w:color="auto" w:fill="EFF6FF"/>
          </w:tcPr>
          <w:p>
            <w:r>
              <w:rPr>
                <w:rFonts w:ascii="Arial" w:hAnsi="Arial"/>
                <w:b/>
                <w:i w:val="0"/>
                <w:color w:val="0F2540"/>
                <w:sz w:val="17"/>
              </w:rPr>
              <w:t>HO</w:t>
            </w:r>
          </w:p>
        </w:tc>
        <w:tc>
          <w:tcPr>
            <w:tcW w:type="dxa" w:w="1020"/>
            <w:shd w:val="clear" w:color="auto" w:fill="FAFAFA"/>
          </w:tcPr>
          <w:p>
            <w:r>
              <w:rPr>
                <w:rFonts w:ascii="Arial" w:hAnsi="Arial"/>
                <w:b w:val="0"/>
                <w:i w:val="0"/>
                <w:color w:val="333333"/>
                <w:sz w:val="17"/>
              </w:rPr>
              <w:t>Thales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228.0–268.0€</w:t>
            </w:r>
          </w:p>
        </w:tc>
        <w:tc>
          <w:tcPr>
            <w:tcW w:type="dxa" w:w="1020"/>
            <w:shd w:val="clear" w:color="auto" w:fill="DCFCE7"/>
          </w:tcPr>
          <w:p>
            <w:r>
              <w:rPr>
                <w:rFonts w:ascii="Arial" w:hAnsi="Arial"/>
                <w:b/>
                <w:i w:val="0"/>
                <w:color w:val="16A34A"/>
                <w:sz w:val="17"/>
              </w:rPr>
              <w:t>5.2x</w:t>
            </w:r>
          </w:p>
        </w:tc>
        <w:tc>
          <w:tcPr>
            <w:tcW w:type="dxa" w:w="1020"/>
            <w:shd w:val="clear" w:color="auto" w:fill="DCFCE7"/>
          </w:tcPr>
          <w:p>
            <w:r>
              <w:rPr>
                <w:rFonts w:ascii="Arial" w:hAnsi="Arial"/>
                <w:b w:val="0"/>
                <w:i w:val="0"/>
                <w:color w:val="16A34A"/>
                <w:sz w:val="17"/>
              </w:rPr>
              <w:t>+39.0%</w:t>
            </w:r>
          </w:p>
        </w:tc>
        <w:tc>
          <w:tcPr>
            <w:tcW w:type="dxa" w:w="1020"/>
            <w:shd w:val="clear" w:color="auto" w:fill="DCFCE7"/>
          </w:tcPr>
          <w:p>
            <w:r>
              <w:rPr>
                <w:rFonts w:ascii="Arial" w:hAnsi="Arial"/>
                <w:b w:val="0"/>
                <w:i w:val="0"/>
                <w:color w:val="16A34A"/>
                <w:sz w:val="17"/>
              </w:rPr>
              <w:t>58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14</w:t>
            </w:r>
          </w:p>
        </w:tc>
        <w:tc>
          <w:tcPr>
            <w:tcW w:type="dxa" w:w="1020"/>
            <w:shd w:val="clear" w:color="auto" w:fill="EFF6FF"/>
          </w:tcPr>
          <w:p>
            <w:r>
              <w:rPr>
                <w:rFonts w:ascii="Arial" w:hAnsi="Arial"/>
                <w:b/>
                <w:i w:val="0"/>
                <w:color w:val="0F2540"/>
                <w:sz w:val="17"/>
              </w:rPr>
              <w:t>ALFPC</w:t>
            </w:r>
          </w:p>
        </w:tc>
        <w:tc>
          <w:tcPr>
            <w:tcW w:type="dxa" w:w="1020"/>
            <w:shd w:val="clear" w:color="auto" w:fill="FAFAFA"/>
          </w:tcPr>
          <w:p>
            <w:r>
              <w:rPr>
                <w:rFonts w:ascii="Arial" w:hAnsi="Arial"/>
                <w:b w:val="0"/>
                <w:i w:val="0"/>
                <w:color w:val="333333"/>
                <w:sz w:val="17"/>
              </w:rPr>
              <w:t>Fountaine Pajo</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82.0–96.0€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+74.4%</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15</w:t>
            </w:r>
          </w:p>
        </w:tc>
        <w:tc>
          <w:tcPr>
            <w:tcW w:type="dxa" w:w="1020"/>
            <w:shd w:val="clear" w:color="auto" w:fill="EFF6FF"/>
          </w:tcPr>
          <w:p>
            <w:r>
              <w:rPr>
                <w:rFonts w:ascii="Arial" w:hAnsi="Arial"/>
                <w:b/>
                <w:i w:val="0"/>
                <w:color w:val="0F2540"/>
                <w:sz w:val="17"/>
              </w:rPr>
              <w:t>LACBX</w:t>
            </w:r>
          </w:p>
        </w:tc>
        <w:tc>
          <w:tcPr>
            <w:tcW w:type="dxa" w:w="1020"/>
            <w:shd w:val="clear" w:color="auto" w:fill="FAFAFA"/>
          </w:tcPr>
          <w:p>
            <w:r>
              <w:rPr>
                <w:rFonts w:ascii="Arial" w:hAnsi="Arial"/>
                <w:b w:val="0"/>
                <w:i w:val="0"/>
                <w:color w:val="333333"/>
                <w:sz w:val="17"/>
              </w:rPr>
              <w:t>Lacroix Defens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+483.3%</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16</w:t>
            </w:r>
          </w:p>
        </w:tc>
        <w:tc>
          <w:tcPr>
            <w:tcW w:type="dxa" w:w="1020"/>
            <w:shd w:val="clear" w:color="auto" w:fill="EFF6FF"/>
          </w:tcPr>
          <w:p>
            <w:r>
              <w:rPr>
                <w:rFonts w:ascii="Arial" w:hAnsi="Arial"/>
                <w:b/>
                <w:i w:val="0"/>
                <w:color w:val="0F2540"/>
                <w:sz w:val="17"/>
              </w:rPr>
              <w:t>ESCAP</w:t>
            </w:r>
          </w:p>
        </w:tc>
        <w:tc>
          <w:tcPr>
            <w:tcW w:type="dxa" w:w="1020"/>
            <w:shd w:val="clear" w:color="auto" w:fill="FAFAFA"/>
          </w:tcPr>
          <w:p>
            <w:r>
              <w:rPr>
                <w:rFonts w:ascii="Arial" w:hAnsi="Arial"/>
                <w:b w:val="0"/>
                <w:i w:val="0"/>
                <w:color w:val="333333"/>
                <w:sz w:val="17"/>
              </w:rPr>
              <w:t>Esker SA</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165.0–200.0€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+12.4%</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17</w:t>
            </w:r>
          </w:p>
        </w:tc>
        <w:tc>
          <w:tcPr>
            <w:tcW w:type="dxa" w:w="1020"/>
            <w:shd w:val="clear" w:color="auto" w:fill="EFF6FF"/>
          </w:tcPr>
          <w:p>
            <w:r>
              <w:rPr>
                <w:rFonts w:ascii="Arial" w:hAnsi="Arial"/>
                <w:b/>
                <w:i w:val="0"/>
                <w:color w:val="0F2540"/>
                <w:sz w:val="17"/>
              </w:rPr>
              <w:t>OR</w:t>
            </w:r>
          </w:p>
        </w:tc>
        <w:tc>
          <w:tcPr>
            <w:tcW w:type="dxa" w:w="1020"/>
            <w:shd w:val="clear" w:color="auto" w:fill="FAFAFA"/>
          </w:tcPr>
          <w:p>
            <w:r>
              <w:rPr>
                <w:rFonts w:ascii="Arial" w:hAnsi="Arial"/>
                <w:b w:val="0"/>
                <w:i w:val="0"/>
                <w:color w:val="333333"/>
                <w:sz w:val="17"/>
              </w:rPr>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315.0–375.0€</w:t>
            </w:r>
          </w:p>
        </w:tc>
        <w:tc>
          <w:tcPr>
            <w:tcW w:type="dxa" w:w="1020"/>
            <w:shd w:val="clear" w:color="auto" w:fill="FFFBEB"/>
          </w:tcPr>
          <w:p>
            <w:r>
              <w:rPr>
                <w:rFonts w:ascii="Arial" w:hAnsi="Arial"/>
                <w:b/>
                <w:i w:val="0"/>
                <w:color w:val="D97706"/>
                <w:sz w:val="17"/>
              </w:rPr>
              <w:t>0.7x</w:t>
            </w:r>
          </w:p>
        </w:tc>
        <w:tc>
          <w:tcPr>
            <w:tcW w:type="dxa" w:w="1020"/>
            <w:shd w:val="clear" w:color="auto" w:fill="DCFCE7"/>
          </w:tcPr>
          <w:p>
            <w:r>
              <w:rPr>
                <w:rFonts w:ascii="Arial" w:hAnsi="Arial"/>
                <w:b w:val="0"/>
                <w:i w:val="0"/>
                <w:color w:val="16A34A"/>
                <w:sz w:val="17"/>
              </w:rPr>
              <w:t>+12.0%</w:t>
            </w:r>
          </w:p>
        </w:tc>
        <w:tc>
          <w:tcPr>
            <w:tcW w:type="dxa" w:w="1020"/>
            <w:shd w:val="clear" w:color="auto" w:fill="DCFCE7"/>
          </w:tcPr>
          <w:p>
            <w:r>
              <w:rPr>
                <w:rFonts w:ascii="Arial" w:hAnsi="Arial"/>
                <w:b w:val="0"/>
                <w:i w:val="0"/>
                <w:color w:val="16A34A"/>
                <w:sz w:val="17"/>
              </w:rPr>
              <w:t>42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18</w:t>
            </w:r>
          </w:p>
        </w:tc>
        <w:tc>
          <w:tcPr>
            <w:tcW w:type="dxa" w:w="1020"/>
            <w:shd w:val="clear" w:color="auto" w:fill="EFF6FF"/>
          </w:tcPr>
          <w:p>
            <w:r>
              <w:rPr>
                <w:rFonts w:ascii="Arial" w:hAnsi="Arial"/>
                <w:b/>
                <w:i w:val="0"/>
                <w:color w:val="0F2540"/>
                <w:sz w:val="17"/>
              </w:rPr>
              <w:t>MLNMG</w:t>
            </w:r>
          </w:p>
        </w:tc>
        <w:tc>
          <w:tcPr>
            <w:tcW w:type="dxa" w:w="1020"/>
            <w:shd w:val="clear" w:color="auto" w:fill="FAFAFA"/>
          </w:tcPr>
          <w:p>
            <w:r>
              <w:rPr>
                <w:rFonts w:ascii="Arial" w:hAnsi="Arial"/>
                <w:b w:val="0"/>
                <w:i w:val="0"/>
                <w:color w:val="333333"/>
                <w:sz w:val="17"/>
              </w:rPr>
              <w:t>NMG Group</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76.0–92.0€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+11.8%</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19</w:t>
            </w:r>
          </w:p>
        </w:tc>
        <w:tc>
          <w:tcPr>
            <w:tcW w:type="dxa" w:w="1020"/>
            <w:shd w:val="clear" w:color="auto" w:fill="EFF6FF"/>
          </w:tcPr>
          <w:p>
            <w:r>
              <w:rPr>
                <w:rFonts w:ascii="Arial" w:hAnsi="Arial"/>
                <w:b/>
                <w:i w:val="0"/>
                <w:color w:val="0F2540"/>
                <w:sz w:val="17"/>
              </w:rPr>
              <w:t>LVMHF</w:t>
            </w:r>
          </w:p>
        </w:tc>
        <w:tc>
          <w:tcPr>
            <w:tcW w:type="dxa" w:w="1020"/>
            <w:shd w:val="clear" w:color="auto" w:fill="FAFAFA"/>
          </w:tcPr>
          <w:p>
            <w:r>
              <w:rPr>
                <w:rFonts w:ascii="Arial" w:hAnsi="Arial"/>
                <w:b w:val="0"/>
                <w:i w:val="0"/>
                <w:color w:val="333333"/>
                <w:sz w:val="17"/>
              </w:rPr>
              <w:t>Ferrari SpA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325.0–375.0€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+11.3%</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20</w:t>
            </w:r>
          </w:p>
        </w:tc>
        <w:tc>
          <w:tcPr>
            <w:tcW w:type="dxa" w:w="1020"/>
            <w:shd w:val="clear" w:color="auto" w:fill="EFF6FF"/>
          </w:tcPr>
          <w:p>
            <w:r>
              <w:rPr>
                <w:rFonts w:ascii="Arial" w:hAnsi="Arial"/>
                <w:b/>
                <w:i w:val="0"/>
                <w:color w:val="0F2540"/>
                <w:sz w:val="17"/>
              </w:rPr>
              <w:t>ENVEA</w:t>
            </w:r>
          </w:p>
        </w:tc>
        <w:tc>
          <w:tcPr>
            <w:tcW w:type="dxa" w:w="1020"/>
            <w:shd w:val="clear" w:color="auto" w:fill="FAFAFA"/>
          </w:tcPr>
          <w:p>
            <w:r>
              <w:rPr>
                <w:rFonts w:ascii="Arial" w:hAnsi="Arial"/>
                <w:b w:val="0"/>
                <w:i w:val="0"/>
                <w:color w:val="333333"/>
                <w:sz w:val="17"/>
              </w:rPr>
              <w:t>Envea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48.0–60.0€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+12.7%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21</w:t>
            </w:r>
          </w:p>
        </w:tc>
        <w:tc>
          <w:tcPr>
            <w:tcW w:type="dxa" w:w="1020"/>
            <w:shd w:val="clear" w:color="auto" w:fill="EFF6FF"/>
          </w:tcPr>
          <w:p>
            <w:r>
              <w:rPr>
                <w:rFonts w:ascii="Arial" w:hAnsi="Arial"/>
                <w:b/>
                <w:i w:val="0"/>
                <w:color w:val="0F2540"/>
                <w:sz w:val="17"/>
              </w:rPr>
              <w:t>ITRLN</w:t>
            </w:r>
          </w:p>
        </w:tc>
        <w:tc>
          <w:tcPr>
            <w:tcW w:type="dxa" w:w="1020"/>
            <w:shd w:val="clear" w:color="auto" w:fill="FAFAFA"/>
          </w:tcPr>
          <w:p>
            <w:r>
              <w:rPr>
                <w:rFonts w:ascii="Arial" w:hAnsi="Arial"/>
                <w:b w:val="0"/>
                <w:i w:val="0"/>
                <w:color w:val="333333"/>
                <w:sz w:val="17"/>
              </w:rPr>
              <w:t>Interroll</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1980.0–2420.0€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+12.0%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22</w:t>
            </w:r>
          </w:p>
        </w:tc>
        <w:tc>
          <w:tcPr>
            <w:tcW w:type="dxa" w:w="1020"/>
            <w:shd w:val="clear" w:color="auto" w:fill="EFF6FF"/>
          </w:tcPr>
          <w:p>
            <w:r>
              <w:rPr>
                <w:rFonts w:ascii="Arial" w:hAnsi="Arial"/>
                <w:b/>
                <w:i w:val="0"/>
                <w:color w:val="0F2540"/>
                <w:sz w:val="17"/>
              </w:rPr>
              <w:t>ALIDS</w:t>
            </w:r>
          </w:p>
        </w:tc>
        <w:tc>
          <w:tcPr>
            <w:tcW w:type="dxa" w:w="1020"/>
            <w:shd w:val="clear" w:color="auto" w:fill="FAFAFA"/>
          </w:tcPr>
          <w:p>
            <w:r>
              <w:rPr>
                <w:rFonts w:ascii="Arial" w:hAnsi="Arial"/>
                <w:b w:val="0"/>
                <w:i w:val="0"/>
                <w:color w:val="333333"/>
                <w:sz w:val="17"/>
              </w:rPr>
              <w:t>IDS Defense</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19.0–24.0€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+18.2%</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23</w:t>
            </w:r>
          </w:p>
        </w:tc>
        <w:tc>
          <w:tcPr>
            <w:tcW w:type="dxa" w:w="1020"/>
            <w:shd w:val="clear" w:color="auto" w:fill="EFF6FF"/>
          </w:tcPr>
          <w:p>
            <w:r>
              <w:rPr>
                <w:rFonts w:ascii="Arial" w:hAnsi="Arial"/>
                <w:b/>
                <w:i w:val="0"/>
                <w:color w:val="0F2540"/>
                <w:sz w:val="17"/>
              </w:rPr>
              <w:t>SODITECH</w:t>
            </w:r>
          </w:p>
        </w:tc>
        <w:tc>
          <w:tcPr>
            <w:tcW w:type="dxa" w:w="1020"/>
            <w:shd w:val="clear" w:color="auto" w:fill="FAFAFA"/>
          </w:tcPr>
          <w:p>
            <w:r>
              <w:rPr>
                <w:rFonts w:ascii="Arial" w:hAnsi="Arial"/>
                <w:b w:val="0"/>
                <w:i w:val="0"/>
                <w:color w:val="333333"/>
                <w:sz w:val="17"/>
              </w:rPr>
              <w:t>Soditech Spati</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15.5–19.5€</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+16.7%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24</w:t>
            </w:r>
          </w:p>
        </w:tc>
        <w:tc>
          <w:tcPr>
            <w:tcW w:type="dxa" w:w="1020"/>
            <w:shd w:val="clear" w:color="auto" w:fill="EFF6FF"/>
          </w:tcPr>
          <w:p>
            <w:r>
              <w:rPr>
                <w:rFonts w:ascii="Arial" w:hAnsi="Arial"/>
                <w:b/>
                <w:i w:val="0"/>
                <w:color w:val="0F2540"/>
                <w:sz w:val="17"/>
              </w:rPr>
              <w:t>IDSF</w:t>
            </w:r>
          </w:p>
        </w:tc>
        <w:tc>
          <w:tcPr>
            <w:tcW w:type="dxa" w:w="1020"/>
            <w:shd w:val="clear" w:color="auto" w:fill="FAFAFA"/>
          </w:tcPr>
          <w:p>
            <w:r>
              <w:rPr>
                <w:rFonts w:ascii="Arial" w:hAnsi="Arial"/>
                <w:b w:val="0"/>
                <w:i w:val="0"/>
                <w:color w:val="333333"/>
                <w:sz w:val="17"/>
              </w:rPr>
              <w:t>Infotel</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+19.0%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25</w:t>
            </w:r>
          </w:p>
        </w:tc>
        <w:tc>
          <w:tcPr>
            <w:tcW w:type="dxa" w:w="1020"/>
            <w:shd w:val="clear" w:color="auto" w:fill="EFF6FF"/>
          </w:tcPr>
          <w:p>
            <w:r>
              <w:rPr>
                <w:rFonts w:ascii="Arial" w:hAnsi="Arial"/>
                <w:b/>
                <w:i w:val="0"/>
                <w:color w:val="0F2540"/>
                <w:sz w:val="17"/>
              </w:rPr>
              <w:t>MLHRZ</w:t>
            </w:r>
          </w:p>
        </w:tc>
        <w:tc>
          <w:tcPr>
            <w:tcW w:type="dxa" w:w="1020"/>
            <w:shd w:val="clear" w:color="auto" w:fill="FAFAFA"/>
          </w:tcPr>
          <w:p>
            <w:r>
              <w:rPr>
                <w:rFonts w:ascii="Arial" w:hAnsi="Arial"/>
                <w:b w:val="0"/>
                <w:i w:val="0"/>
                <w:color w:val="333333"/>
                <w:sz w:val="17"/>
              </w:rPr>
              <w:t>Horiba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60.0–74.0€</w:t>
            </w:r>
          </w:p>
        </w:tc>
        <w:tc>
          <w:tcPr>
            <w:tcW w:type="dxa" w:w="1020"/>
            <w:shd w:val="clear" w:color="auto" w:fill="FFFBEB"/>
          </w:tcPr>
          <w:p>
            <w:r>
              <w:rPr>
                <w:rFonts w:ascii="Arial" w:hAnsi="Arial"/>
                <w:b/>
                <w:i w:val="0"/>
                <w:color w:val="D97706"/>
                <w:sz w:val="17"/>
              </w:rPr>
              <w:t>1.4x</w:t>
            </w:r>
          </w:p>
        </w:tc>
        <w:tc>
          <w:tcPr>
            <w:tcW w:type="dxa" w:w="1020"/>
            <w:shd w:val="clear" w:color="auto" w:fill="DCFCE7"/>
          </w:tcPr>
          <w:p>
            <w:r>
              <w:rPr>
                <w:rFonts w:ascii="Arial" w:hAnsi="Arial"/>
                <w:b w:val="0"/>
                <w:i w:val="0"/>
                <w:color w:val="16A34A"/>
                <w:sz w:val="17"/>
              </w:rPr>
              <w:t>+20.6%</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26</w:t>
            </w:r>
          </w:p>
        </w:tc>
        <w:tc>
          <w:tcPr>
            <w:tcW w:type="dxa" w:w="1020"/>
            <w:shd w:val="clear" w:color="auto" w:fill="EFF6FF"/>
          </w:tcPr>
          <w:p>
            <w:r>
              <w:rPr>
                <w:rFonts w:ascii="Arial" w:hAnsi="Arial"/>
                <w:b/>
                <w:i w:val="0"/>
                <w:color w:val="0F2540"/>
                <w:sz w:val="17"/>
              </w:rPr>
              <w:t>AI</w:t>
            </w:r>
          </w:p>
        </w:tc>
        <w:tc>
          <w:tcPr>
            <w:tcW w:type="dxa" w:w="1020"/>
            <w:shd w:val="clear" w:color="auto" w:fill="FAFAFA"/>
          </w:tcPr>
          <w:p>
            <w:r>
              <w:rPr>
                <w:rFonts w:ascii="Arial" w:hAnsi="Arial"/>
                <w:b w:val="0"/>
                <w:i w:val="0"/>
                <w:color w:val="333333"/>
                <w:sz w:val="17"/>
              </w:rPr>
              <w:t>Air Liquide</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172.0–195.0€</w:t>
            </w:r>
          </w:p>
        </w:tc>
        <w:tc>
          <w:tcPr>
            <w:tcW w:type="dxa" w:w="1020"/>
            <w:shd w:val="clear" w:color="auto" w:fill="DCFCE7"/>
          </w:tcPr>
          <w:p>
            <w:r>
              <w:rPr>
                <w:rFonts w:ascii="Arial" w:hAnsi="Arial"/>
                <w:b/>
                <w:i w:val="0"/>
                <w:color w:val="16A34A"/>
                <w:sz w:val="17"/>
              </w:rPr>
              <w:t>1.9x</w:t>
            </w:r>
          </w:p>
        </w:tc>
        <w:tc>
          <w:tcPr>
            <w:tcW w:type="dxa" w:w="1020"/>
            <w:shd w:val="clear" w:color="auto" w:fill="DCFCE7"/>
          </w:tcPr>
          <w:p>
            <w:r>
              <w:rPr>
                <w:rFonts w:ascii="Arial" w:hAnsi="Arial"/>
                <w:b w:val="0"/>
                <w:i w:val="0"/>
                <w:color w:val="16A34A"/>
                <w:sz w:val="17"/>
              </w:rPr>
              <w:t>+16.3%</w:t>
            </w:r>
          </w:p>
        </w:tc>
        <w:tc>
          <w:tcPr>
            <w:tcW w:type="dxa" w:w="1020"/>
            <w:shd w:val="clear" w:color="auto" w:fill="DCFCE7"/>
          </w:tcPr>
          <w:p>
            <w:r>
              <w:rPr>
                <w:rFonts w:ascii="Arial" w:hAnsi="Arial"/>
                <w:b w:val="0"/>
                <w:i w:val="0"/>
                <w:color w:val="16A34A"/>
                <w:sz w:val="17"/>
              </w:rPr>
              <w:t>48</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27</w:t>
            </w:r>
          </w:p>
        </w:tc>
        <w:tc>
          <w:tcPr>
            <w:tcW w:type="dxa" w:w="1020"/>
            <w:shd w:val="clear" w:color="auto" w:fill="EFF6FF"/>
          </w:tcPr>
          <w:p>
            <w:r>
              <w:rPr>
                <w:rFonts w:ascii="Arial" w:hAnsi="Arial"/>
                <w:b/>
                <w:i w:val="0"/>
                <w:color w:val="0F2540"/>
                <w:sz w:val="17"/>
              </w:rPr>
              <w:t>SELENV</w:t>
            </w:r>
          </w:p>
        </w:tc>
        <w:tc>
          <w:tcPr>
            <w:tcW w:type="dxa" w:w="1020"/>
            <w:shd w:val="clear" w:color="auto" w:fill="FAFAFA"/>
          </w:tcPr>
          <w:p>
            <w:r>
              <w:rPr>
                <w:rFonts w:ascii="Arial" w:hAnsi="Arial"/>
                <w:b w:val="0"/>
                <w:i w:val="0"/>
                <w:color w:val="333333"/>
                <w:sz w:val="17"/>
              </w:rPr>
              <w:t>Seche Environn</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+15.3%</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28</w:t>
            </w:r>
          </w:p>
        </w:tc>
        <w:tc>
          <w:tcPr>
            <w:tcW w:type="dxa" w:w="1020"/>
            <w:shd w:val="clear" w:color="auto" w:fill="EFF6FF"/>
          </w:tcPr>
          <w:p>
            <w:r>
              <w:rPr>
                <w:rFonts w:ascii="Arial" w:hAnsi="Arial"/>
                <w:b/>
                <w:i w:val="0"/>
                <w:color w:val="0F2540"/>
                <w:sz w:val="17"/>
              </w:rPr>
              <w:t>COGEFI</w:t>
            </w:r>
          </w:p>
        </w:tc>
        <w:tc>
          <w:tcPr>
            <w:tcW w:type="dxa" w:w="1020"/>
            <w:shd w:val="clear" w:color="auto" w:fill="FAFAFA"/>
          </w:tcPr>
          <w:p>
            <w:r>
              <w:rPr>
                <w:rFonts w:ascii="Arial" w:hAnsi="Arial"/>
                <w:b w:val="0"/>
                <w:i w:val="0"/>
                <w:color w:val="333333"/>
                <w:sz w:val="17"/>
              </w:rPr>
              <w:t>Cogefi Selecti</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11.5–13.2€</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+21.1%</w:t>
            </w:r>
          </w:p>
        </w:tc>
        <w:tc>
          <w:tcPr>
            <w:tcW w:type="dxa" w:w="1020"/>
            <w:shd w:val="clear" w:color="auto" w:fill="DCFCE7"/>
          </w:tcPr>
          <w:p>
            <w:r>
              <w:rPr>
                <w:rFonts w:ascii="Arial" w:hAnsi="Arial"/>
                <w:b w:val="0"/>
                <w:i w:val="0"/>
                <w:color w:val="16A34A"/>
                <w:sz w:val="17"/>
              </w:rPr>
              <w:t>45</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29</w:t>
            </w:r>
          </w:p>
        </w:tc>
        <w:tc>
          <w:tcPr>
            <w:tcW w:type="dxa" w:w="1020"/>
            <w:shd w:val="clear" w:color="auto" w:fill="EFF6FF"/>
          </w:tcPr>
          <w:p>
            <w:r>
              <w:rPr>
                <w:rFonts w:ascii="Arial" w:hAnsi="Arial"/>
                <w:b/>
                <w:i w:val="0"/>
                <w:color w:val="0F2540"/>
                <w:sz w:val="17"/>
              </w:rPr>
              <w:t>THERMADOR</w:t>
            </w:r>
          </w:p>
        </w:tc>
        <w:tc>
          <w:tcPr>
            <w:tcW w:type="dxa" w:w="1020"/>
            <w:shd w:val="clear" w:color="auto" w:fill="FAFAFA"/>
          </w:tcPr>
          <w:p>
            <w:r>
              <w:rPr>
                <w:rFonts w:ascii="Arial" w:hAnsi="Arial"/>
                <w:b w:val="0"/>
                <w:i w:val="0"/>
                <w:color w:val="333333"/>
                <w:sz w:val="17"/>
              </w:rPr>
              <w:t>Thermador</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78.0–95.0€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+43.3%</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30</w:t>
            </w:r>
          </w:p>
        </w:tc>
        <w:tc>
          <w:tcPr>
            <w:tcW w:type="dxa" w:w="1020"/>
            <w:shd w:val="clear" w:color="auto" w:fill="EFF6FF"/>
          </w:tcPr>
          <w:p>
            <w:r>
              <w:rPr>
                <w:rFonts w:ascii="Arial" w:hAnsi="Arial"/>
                <w:b/>
                <w:i w:val="0"/>
                <w:color w:val="0F2540"/>
                <w:sz w:val="17"/>
              </w:rPr>
              <w:t>RADIALL</w:t>
            </w:r>
          </w:p>
        </w:tc>
        <w:tc>
          <w:tcPr>
            <w:tcW w:type="dxa" w:w="1020"/>
            <w:shd w:val="clear" w:color="auto" w:fill="FAFAFA"/>
          </w:tcPr>
          <w:p>
            <w:r>
              <w:rPr>
                <w:rFonts w:ascii="Arial" w:hAnsi="Arial"/>
                <w:b w:val="0"/>
                <w:i w:val="0"/>
                <w:color w:val="333333"/>
                <w:sz w:val="17"/>
              </w:rPr>
              <w:t>Radiall</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172.0–210.0€</w:t>
            </w:r>
          </w:p>
        </w:tc>
        <w:tc>
          <w:tcPr>
            <w:tcW w:type="dxa" w:w="1020"/>
            <w:shd w:val="clear" w:color="auto" w:fill="FFFBEB"/>
          </w:tcPr>
          <w:p>
            <w:r>
              <w:rPr>
                <w:rFonts w:ascii="Arial" w:hAnsi="Arial"/>
                <w:b/>
                <w:i w:val="0"/>
                <w:color w:val="D97706"/>
                <w:sz w:val="17"/>
              </w:rPr>
              <w:t>0.9x</w:t>
            </w:r>
          </w:p>
        </w:tc>
        <w:tc>
          <w:tcPr>
            <w:tcW w:type="dxa" w:w="1020"/>
            <w:shd w:val="clear" w:color="auto" w:fill="DCFCE7"/>
          </w:tcPr>
          <w:p>
            <w:r>
              <w:rPr>
                <w:rFonts w:ascii="Arial" w:hAnsi="Arial"/>
                <w:b w:val="0"/>
                <w:i w:val="0"/>
                <w:color w:val="16A34A"/>
                <w:sz w:val="17"/>
              </w:rPr>
              <w:t>+11.8%</w:t>
            </w:r>
          </w:p>
        </w:tc>
        <w:tc>
          <w:tcPr>
            <w:tcW w:type="dxa" w:w="1020"/>
            <w:shd w:val="clear" w:color="auto" w:fill="DCFCE7"/>
          </w:tcPr>
          <w:p>
            <w:r>
              <w:rPr>
                <w:rFonts w:ascii="Arial" w:hAnsi="Arial"/>
                <w:b w:val="0"/>
                <w:i w:val="0"/>
                <w:color w:val="16A34A"/>
                <w:sz w:val="17"/>
              </w:rPr>
              <w:t>50</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31</w:t>
            </w:r>
          </w:p>
        </w:tc>
        <w:tc>
          <w:tcPr>
            <w:tcW w:type="dxa" w:w="1020"/>
            <w:shd w:val="clear" w:color="auto" w:fill="EFF6FF"/>
          </w:tcPr>
          <w:p>
            <w:r>
              <w:rPr>
                <w:rFonts w:ascii="Arial" w:hAnsi="Arial"/>
                <w:b/>
                <w:i w:val="0"/>
                <w:color w:val="0F2540"/>
                <w:sz w:val="17"/>
              </w:rPr>
              <w:t>TRGO</w:t>
            </w:r>
          </w:p>
        </w:tc>
        <w:tc>
          <w:tcPr>
            <w:tcW w:type="dxa" w:w="1020"/>
            <w:shd w:val="clear" w:color="auto" w:fill="FAFAFA"/>
          </w:tcPr>
          <w:p>
            <w:r>
              <w:rPr>
                <w:rFonts w:ascii="Arial" w:hAnsi="Arial"/>
                <w:b w:val="0"/>
                <w:i w:val="0"/>
                <w:color w:val="333333"/>
                <w:sz w:val="17"/>
              </w:rPr>
              <w:t>Trigano Campin</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148.0–182.0€</w:t>
            </w:r>
          </w:p>
        </w:tc>
        <w:tc>
          <w:tcPr>
            <w:tcW w:type="dxa" w:w="1020"/>
            <w:shd w:val="clear" w:color="auto" w:fill="DCFCE7"/>
          </w:tcPr>
          <w:p>
            <w:r>
              <w:rPr>
                <w:rFonts w:ascii="Arial" w:hAnsi="Arial"/>
                <w:b/>
                <w:i w:val="0"/>
                <w:color w:val="16A34A"/>
                <w:sz w:val="17"/>
              </w:rPr>
              <w:t>1.9x</w:t>
            </w:r>
          </w:p>
        </w:tc>
        <w:tc>
          <w:tcPr>
            <w:tcW w:type="dxa" w:w="1020"/>
            <w:shd w:val="clear" w:color="auto" w:fill="DCFCE7"/>
          </w:tcPr>
          <w:p>
            <w:r>
              <w:rPr>
                <w:rFonts w:ascii="Arial" w:hAnsi="Arial"/>
                <w:b w:val="0"/>
                <w:i w:val="0"/>
                <w:color w:val="16A34A"/>
                <w:sz w:val="17"/>
              </w:rPr>
              <w:t>+23.2%</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32</w:t>
            </w:r>
          </w:p>
        </w:tc>
        <w:tc>
          <w:tcPr>
            <w:tcW w:type="dxa" w:w="1020"/>
            <w:shd w:val="clear" w:color="auto" w:fill="EFF6FF"/>
          </w:tcPr>
          <w:p>
            <w:r>
              <w:rPr>
                <w:rFonts w:ascii="Arial" w:hAnsi="Arial"/>
                <w:b/>
                <w:i w:val="0"/>
                <w:color w:val="0F2540"/>
                <w:sz w:val="17"/>
              </w:rPr>
              <w:t>THERMD</w:t>
            </w:r>
          </w:p>
        </w:tc>
        <w:tc>
          <w:tcPr>
            <w:tcW w:type="dxa" w:w="1020"/>
            <w:shd w:val="clear" w:color="auto" w:fill="FAFAFA"/>
          </w:tcPr>
          <w:p>
            <w:r>
              <w:rPr>
                <w:rFonts w:ascii="Arial" w:hAnsi="Arial"/>
                <w:b w:val="0"/>
                <w:i w:val="0"/>
                <w:color w:val="333333"/>
                <w:sz w:val="17"/>
              </w:rPr>
              <w:t>Thermador Grou</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63.0–78.0€</w:t>
            </w:r>
          </w:p>
        </w:tc>
        <w:tc>
          <w:tcPr>
            <w:tcW w:type="dxa" w:w="1020"/>
            <w:shd w:val="clear" w:color="auto" w:fill="DCFCE7"/>
          </w:tcPr>
          <w:p>
            <w:r>
              <w:rPr>
                <w:rFonts w:ascii="Arial" w:hAnsi="Arial"/>
                <w:b/>
                <w:i w:val="0"/>
                <w:color w:val="16A34A"/>
                <w:sz w:val="17"/>
              </w:rPr>
              <w:t>1.7x</w:t>
            </w:r>
          </w:p>
        </w:tc>
        <w:tc>
          <w:tcPr>
            <w:tcW w:type="dxa" w:w="1020"/>
            <w:shd w:val="clear" w:color="auto" w:fill="DCFCE7"/>
          </w:tcPr>
          <w:p>
            <w:r>
              <w:rPr>
                <w:rFonts w:ascii="Arial" w:hAnsi="Arial"/>
                <w:b w:val="0"/>
                <w:i w:val="0"/>
                <w:color w:val="16A34A"/>
                <w:sz w:val="17"/>
              </w:rPr>
              <w:t>+24.3%</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33</w:t>
            </w:r>
          </w:p>
        </w:tc>
        <w:tc>
          <w:tcPr>
            <w:tcW w:type="dxa" w:w="1020"/>
            <w:shd w:val="clear" w:color="auto" w:fill="EFF6FF"/>
          </w:tcPr>
          <w:p>
            <w:r>
              <w:rPr>
                <w:rFonts w:ascii="Arial" w:hAnsi="Arial"/>
                <w:b/>
                <w:i w:val="0"/>
                <w:color w:val="0F2540"/>
                <w:sz w:val="17"/>
              </w:rPr>
              <w:t>NEXANS</w:t>
            </w:r>
          </w:p>
        </w:tc>
        <w:tc>
          <w:tcPr>
            <w:tcW w:type="dxa" w:w="1020"/>
            <w:shd w:val="clear" w:color="auto" w:fill="FAFAFA"/>
          </w:tcPr>
          <w:p>
            <w:r>
              <w:rPr>
                <w:rFonts w:ascii="Arial" w:hAnsi="Arial"/>
                <w:b w:val="0"/>
                <w:i w:val="0"/>
                <w:color w:val="333333"/>
                <w:sz w:val="17"/>
              </w:rPr>
              <w:t>Nexans</w:t>
            </w:r>
          </w:p>
        </w:tc>
        <w:tc>
          <w:tcPr>
            <w:tcW w:type="dxa" w:w="1020"/>
            <w:shd w:val="clear" w:color="auto" w:fill="DCFCE7"/>
          </w:tcPr>
          <w:p>
            <w:r>
              <w:rPr>
                <w:rFonts w:ascii="Arial" w:hAnsi="Arial"/>
                <w:b/>
                <w:i w:val="0"/>
                <w:color w:val="16A34A"/>
                <w:sz w:val="17"/>
              </w:rPr>
              <w:t>77/100</w:t>
            </w:r>
          </w:p>
        </w:tc>
        <w:tc>
          <w:tcPr>
            <w:tcW w:type="dxa" w:w="1020"/>
            <w:shd w:val="clear" w:color="auto" w:fill="DCFCE7"/>
          </w:tcPr>
          <w:p>
            <w:r>
              <w:rPr>
                <w:rFonts w:ascii="Arial" w:hAnsi="Arial"/>
                <w:b w:val="0"/>
                <w:i w:val="0"/>
                <w:color w:val="16A34A"/>
                <w:sz w:val="17"/>
              </w:rPr>
              <w:t>147.5–179.6€</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+13.4%</w:t>
            </w:r>
          </w:p>
        </w:tc>
        <w:tc>
          <w:tcPr>
            <w:tcW w:type="dxa" w:w="1020"/>
            <w:shd w:val="clear" w:color="auto" w:fill="DCFCE7"/>
          </w:tcPr>
          <w:p>
            <w:r>
              <w:rPr>
                <w:rFonts w:ascii="Arial" w:hAnsi="Arial"/>
                <w:b w:val="0"/>
                <w:i w:val="0"/>
                <w:color w:val="16A34A"/>
                <w:sz w:val="17"/>
              </w:rPr>
              <w:t>55</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34</w:t>
            </w:r>
          </w:p>
        </w:tc>
        <w:tc>
          <w:tcPr>
            <w:tcW w:type="dxa" w:w="1020"/>
            <w:shd w:val="clear" w:color="auto" w:fill="EFF6FF"/>
          </w:tcPr>
          <w:p>
            <w:r>
              <w:rPr>
                <w:rFonts w:ascii="Arial" w:hAnsi="Arial"/>
                <w:b/>
                <w:i w:val="0"/>
                <w:color w:val="0F2540"/>
                <w:sz w:val="17"/>
              </w:rPr>
              <w:t>CLASQUIN</w:t>
            </w:r>
          </w:p>
        </w:tc>
        <w:tc>
          <w:tcPr>
            <w:tcW w:type="dxa" w:w="1020"/>
            <w:shd w:val="clear" w:color="auto" w:fill="FAFAFA"/>
          </w:tcPr>
          <w:p>
            <w:r>
              <w:rPr>
                <w:rFonts w:ascii="Arial" w:hAnsi="Arial"/>
                <w:b w:val="0"/>
                <w:i w:val="0"/>
                <w:color w:val="333333"/>
                <w:sz w:val="17"/>
              </w:rPr>
              <w:t>Clasquin</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+11.9%</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35</w:t>
            </w:r>
          </w:p>
        </w:tc>
        <w:tc>
          <w:tcPr>
            <w:tcW w:type="dxa" w:w="1020"/>
            <w:shd w:val="clear" w:color="auto" w:fill="EFF6FF"/>
          </w:tcPr>
          <w:p>
            <w:r>
              <w:rPr>
                <w:rFonts w:ascii="Arial" w:hAnsi="Arial"/>
                <w:b/>
                <w:i w:val="0"/>
                <w:color w:val="0F2540"/>
                <w:sz w:val="17"/>
              </w:rPr>
              <w:t>ALCLF</w:t>
            </w:r>
          </w:p>
        </w:tc>
        <w:tc>
          <w:tcPr>
            <w:tcW w:type="dxa" w:w="1020"/>
            <w:shd w:val="clear" w:color="auto" w:fill="FAFAFA"/>
          </w:tcPr>
          <w:p>
            <w:r>
              <w:rPr>
                <w:rFonts w:ascii="Arial" w:hAnsi="Arial"/>
                <w:b w:val="0"/>
                <w:i w:val="0"/>
                <w:color w:val="333333"/>
                <w:sz w:val="17"/>
              </w:rPr>
              <w:t>Clasquin</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+11.9%</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36</w:t>
            </w:r>
          </w:p>
        </w:tc>
        <w:tc>
          <w:tcPr>
            <w:tcW w:type="dxa" w:w="1020"/>
            <w:shd w:val="clear" w:color="auto" w:fill="EFF6FF"/>
          </w:tcPr>
          <w:p>
            <w:r>
              <w:rPr>
                <w:rFonts w:ascii="Arial" w:hAnsi="Arial"/>
                <w:b/>
                <w:i w:val="0"/>
                <w:color w:val="0F2540"/>
                <w:sz w:val="17"/>
              </w:rPr>
              <w:t>MLCFT</w:t>
            </w:r>
          </w:p>
        </w:tc>
        <w:tc>
          <w:tcPr>
            <w:tcW w:type="dxa" w:w="1020"/>
            <w:shd w:val="clear" w:color="auto" w:fill="FAFAFA"/>
          </w:tcPr>
          <w:p>
            <w:r>
              <w:rPr>
                <w:rFonts w:ascii="Arial" w:hAnsi="Arial"/>
                <w:b w:val="0"/>
                <w:i w:val="0"/>
                <w:color w:val="333333"/>
                <w:sz w:val="17"/>
              </w:rPr>
              <w:t>Clasquin Fret</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30.0–38.0€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+20.0%</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bl>
    <w:p>
      <w:pPr>
        <w:spacing w:after="160"/>
      </w:pPr>
    </w:p>
    <w:tbl>
      <w:tblPr>
        <w:tblStyle w:val="TableGrid"/>
        <w:tblW w:type="auto" w:w="0"/>
        <w:tblLook w:firstColumn="1" w:firstRow="1" w:lastColumn="0" w:lastRow="0" w:noHBand="0" w:noVBand="1" w:val="04A0"/>
      </w:tblPr>
      <w:tblGrid>
        <w:gridCol w:w="10200"/>
      </w:tblGrid>
      <w:tr>
        <w:tc>
          <w:tcPr>
            <w:tcW w:type="dxa" w:w="10200"/>
            <w:shd w:val="clear" w:color="auto" w:fill="EFF6FF"/>
          </w:tcPr>
          <w:p>
            <w:pPr>
              <w:spacing w:before="100" w:after="100"/>
            </w:pPr>
            <w:r>
              <w:rPr>
                <w:rFonts w:ascii="Arial" w:hAnsi="Arial"/>
                <w:b w:val="0"/>
                <w:i w:val="0"/>
                <w:color w:val="1D4ED8"/>
                <w:sz w:val="18"/>
              </w:rPr>
              <w:t>PROTOCOLE OBLIGATOIRE avant tout achat : (1) Grade A + Score ≥ 65  (2) Cours dans zone [el-eh] ou décote ≥ 12% sur DCF  (3) Triptyque 2/3 feux verts  (4) R/R ≥ 1.5x  (5) Taille max : Grade A = 8% du PEA</w:t>
            </w:r>
          </w:p>
        </w:tc>
      </w:tr>
    </w:tbl>
    <w:p>
      <w:pPr>
        <w:spacing w:after="20"/>
      </w:pPr>
    </w:p>
    <w:p>
      <w:pPr>
        <w:spacing w:after="12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ADYEN  </w:t>
            </w:r>
            <w:r>
              <w:rPr>
                <w:rFonts w:ascii="Arial" w:hAnsi="Arial"/>
                <w:b w:val="0"/>
                <w:i w:val="0"/>
                <w:color w:val="AABBCC"/>
                <w:sz w:val="19"/>
              </w:rPr>
              <w:t>Adyen</w:t>
            </w:r>
          </w:p>
          <w:p>
            <w:r>
              <w:rPr>
                <w:rFonts w:ascii="Arial" w:hAnsi="Arial"/>
                <w:b w:val="0"/>
                <w:i w:val="0"/>
                <w:color w:val="AABBCC"/>
                <w:sz w:val="16"/>
              </w:rPr>
              <w:t>Paiements  ·  Score 95/100  ·  Zone 1050.0–1250.0€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890.8€  ·  Upside DCF : +51.5%</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890.8€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1050.0€ – 1250.0€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950.0€  (-6.6%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1480.0€  (+66.1%)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1350.0€  (upside +51.5%)</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45.0x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Adyen est la meilleure plateforme paiement mondiale — une seule stack technologique pour tous les pays. L'expansion US accélère. Zéro dette, 20% ROE.</w:t>
            </w:r>
          </w:p>
        </w:tc>
        <w:tc>
          <w:tcPr>
            <w:tcW w:type="dxa" w:w="5100"/>
            <w:shd w:val="clear" w:color="auto" w:fill="FFF5F5"/>
          </w:tcPr>
          <w:p>
            <w:r>
              <w:rPr>
                <w:rFonts w:ascii="Arial" w:hAnsi="Arial"/>
                <w:b w:val="0"/>
                <w:i w:val="0"/>
                <w:color w:val="7C2C2C"/>
                <w:sz w:val="17"/>
              </w:rPr>
              <w:t>45x PE exige une exécution parfaite. Stripe prive reste un concurrent redoutable. Réglementation paiements croissante.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+51.5%. Appliquer le protocole du dimanche avant tout passage d'ordre. Taille max : 8% du PEA. Stop loss : 950.0€.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NOVO  </w:t>
            </w:r>
            <w:r>
              <w:rPr>
                <w:rFonts w:ascii="Arial" w:hAnsi="Arial"/>
                <w:b w:val="0"/>
                <w:i w:val="0"/>
                <w:color w:val="AABBCC"/>
                <w:sz w:val="19"/>
              </w:rPr>
              <w:t>Novo Nordisk</w:t>
            </w:r>
          </w:p>
          <w:p>
            <w:r>
              <w:rPr>
                <w:rFonts w:ascii="Arial" w:hAnsi="Arial"/>
                <w:b w:val="0"/>
                <w:i w:val="0"/>
                <w:color w:val="AABBCC"/>
                <w:sz w:val="16"/>
              </w:rPr>
              <w:t>Pharma diabète/obésité  ·  Score 95/100  ·  Zone 72.0–92.0€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40.11€  ·  Upside DCF : +186.7%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40.11€</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72.0€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62.0€  (-54.6%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112.0€  (+179.2%)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115.0€  (upside +186.7%)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48.0%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12.5%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38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Novo Nordisk a Ozempic/Wegovy — les médicaments qui vont changer la santé mondiale. L'obésité touche 40% des adultes américains. Le pipeline GLP-1 s'étend au coeur, foie, rein. Correction de -50% = opportunité historique.</w:t>
            </w:r>
          </w:p>
        </w:tc>
        <w:tc>
          <w:tcPr>
            <w:tcW w:type="dxa" w:w="5100"/>
            <w:shd w:val="clear" w:color="auto" w:fill="FFF5F5"/>
          </w:tcPr>
          <w:p>
            <w:r>
              <w:rPr>
                <w:rFonts w:ascii="Arial" w:hAnsi="Arial"/>
                <w:b w:val="0"/>
                <w:i w:val="0"/>
                <w:color w:val="7C2C2C"/>
                <w:sz w:val="17"/>
              </w:rPr>
              <w:t>Concurrence Eli Lilly (Zepbound) s'intensifie. Problèmes de production capacité. Remboursements assurances maladie sous pression. Valorisation encore élevée malgré la baisse.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+186.7%. Appliquer le protocole du dimanche avant tout passage d'ordre. Taille max : 8% du PEA. Stop loss : 62.0€.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SAP  </w:t>
            </w:r>
            <w:r>
              <w:rPr>
                <w:rFonts w:ascii="Arial" w:hAnsi="Arial"/>
                <w:b w:val="0"/>
                <w:i w:val="0"/>
                <w:color w:val="AABBCC"/>
                <w:sz w:val="19"/>
              </w:rPr>
              <w:t>SAP</w:t>
            </w:r>
          </w:p>
          <w:p>
            <w:r>
              <w:rPr>
                <w:rFonts w:ascii="Arial" w:hAnsi="Arial"/>
                <w:b w:val="0"/>
                <w:i w:val="0"/>
                <w:color w:val="AABBCC"/>
                <w:sz w:val="16"/>
              </w:rPr>
              <w:t>ERP cloud  ·  Score 95/100  ·  Zone 210.0–248.0€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144.06€  ·  Upside DCF : +79.1%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144.06€</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210.0€ – 248.0€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188.0€  (-30.5%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272.0€  (+88.8%)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258.0€  (upside +79.1%)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SAP est le Microsoft de l'ERP. 440 millions d'utilisateurs ne peuvent pas changer de logiciel. La transition cloud génère de la récurrence. Éligible PEA via Xetra.</w:t>
            </w:r>
          </w:p>
        </w:tc>
        <w:tc>
          <w:tcPr>
            <w:tcW w:type="dxa" w:w="5100"/>
            <w:shd w:val="clear" w:color="auto" w:fill="FFF5F5"/>
          </w:tcPr>
          <w:p>
            <w:r>
              <w:rPr>
                <w:rFonts w:ascii="Arial" w:hAnsi="Arial"/>
                <w:b w:val="0"/>
                <w:i w:val="0"/>
                <w:color w:val="7C2C2C"/>
                <w:sz w:val="17"/>
              </w:rPr>
              <w:t>35x PE élevé. Transition cloud crée de la friction à court terme. Concurrence Oracle et Salesforce sur les nouveaux clients.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+79.1%. Appliquer le protocole du dimanche avant tout passage d'ordre. Taille max : 8% du PEA. Stop loss : 188.0€.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INTERPARFUMS  </w:t>
            </w:r>
            <w:r>
              <w:rPr>
                <w:rFonts w:ascii="Arial" w:hAnsi="Arial"/>
                <w:b w:val="0"/>
                <w:i w:val="0"/>
                <w:color w:val="AABBCC"/>
                <w:sz w:val="19"/>
              </w:rPr>
              <w:t>Interparfums</w:t>
            </w:r>
          </w:p>
          <w:p>
            <w:r>
              <w:rPr>
                <w:rFonts w:ascii="Arial" w:hAnsi="Arial"/>
                <w:b w:val="0"/>
                <w:i w:val="0"/>
                <w:color w:val="AABBCC"/>
                <w:sz w:val="16"/>
              </w:rPr>
              <w:t>Parfums sous licence  ·  Score 95/100  ·  Zone 36.0–46.0€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22.22€  ·  Upside DCF : +116.0%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22.22€</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(-44.0%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(+134.0%)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48.0€  (upside +116.0%)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Interparfums crée des parfums sous licence pour DKNY, Montblanc, Coach. Zéro dette, ROE 22%, modèle asset-light parfait.</w:t>
            </w:r>
          </w:p>
        </w:tc>
        <w:tc>
          <w:tcPr>
            <w:tcW w:type="dxa" w:w="5100"/>
            <w:shd w:val="clear" w:color="auto" w:fill="FFF5F5"/>
          </w:tcPr>
          <w:p>
            <w:r>
              <w:rPr>
                <w:rFonts w:ascii="Arial" w:hAnsi="Arial"/>
                <w:b w:val="0"/>
                <w:i w:val="0"/>
                <w:color w:val="7C2C2C"/>
                <w:sz w:val="17"/>
              </w:rPr>
              <w:t>Dépendance licences renouvelables tous 7-10 ans. Mode volatile. Exposition USD.</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+116.0%.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KZATM  </w:t>
            </w:r>
            <w:r>
              <w:rPr>
                <w:rFonts w:ascii="Arial" w:hAnsi="Arial"/>
                <w:b w:val="0"/>
                <w:i w:val="0"/>
                <w:color w:val="AABBCC"/>
                <w:sz w:val="19"/>
              </w:rPr>
              <w:t>Kazatomprom</w:t>
            </w:r>
          </w:p>
          <w:p>
            <w:r>
              <w:rPr>
                <w:rFonts w:ascii="Arial" w:hAnsi="Arial"/>
                <w:b w:val="0"/>
                <w:i w:val="0"/>
                <w:color w:val="AABBCC"/>
                <w:sz w:val="16"/>
              </w:rPr>
              <w:t>Uranium Kazakhstan  ·  Score 95/100  ·  Zone 15.5–19.5€  ·  R/R 1.3x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18.0€  ·  Upside DCF : +22.2%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15.5€ – 19.5€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13.5€  (25.0%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24.0€  (+33.3%)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22.0€  (upside +22.2%)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Kazatomprom produit 40% de l uranium mondial au cout le plus bas de la planete. La renaissance du nucleaire en Europe et aux USA cree une demande structurelle que l offre ne peut pas suivre a court terme. 8.5% de dividende, ROE 22%, a 8x PE. Confirmer eligibilite PEA avec courtier.</w:t>
            </w:r>
          </w:p>
        </w:tc>
        <w:tc>
          <w:tcPr>
            <w:tcW w:type="dxa" w:w="5100"/>
            <w:shd w:val="clear" w:color="auto" w:fill="FFF5F5"/>
          </w:tcPr>
          <w:p>
            <w:r>
              <w:rPr>
                <w:rFonts w:ascii="Arial" w:hAnsi="Arial"/>
                <w:b w:val="0"/>
                <w:i w:val="0"/>
                <w:color w:val="7C2C2C"/>
                <w:sz w:val="17"/>
              </w:rPr>
              <w:t>Risque geopolitique Kazakhstan. Eligibilite PEA a confirmer selon le courtier. Expo Russie.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1.3x. Upside DCF +22.2%. Appliquer le protocole du dimanche avant tout passage d'ordre. Taille max : 8% du PEA. Stop loss : 13.5€.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DIORCDI  </w:t>
            </w:r>
            <w:r>
              <w:rPr>
                <w:rFonts w:ascii="Arial" w:hAnsi="Arial"/>
                <w:b w:val="0"/>
                <w:i w:val="0"/>
                <w:color w:val="AABBCC"/>
                <w:sz w:val="19"/>
              </w:rPr>
              <w:t>Christian Dior</w:t>
            </w:r>
          </w:p>
          <w:p>
            <w:r>
              <w:rPr>
                <w:rFonts w:ascii="Arial" w:hAnsi="Arial"/>
                <w:b w:val="0"/>
                <w:i w:val="0"/>
                <w:color w:val="AABBCC"/>
                <w:sz w:val="16"/>
              </w:rPr>
              <w:t>Luxe holding LVMH  ·  Score 95/100  ·  Zone 595.0–680.0€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427.4€  ·  Upside DCF : +73.1%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427.4€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595.0€ – 680.0€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548.0€  (-28.2%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760.0€  (+77.8%)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740.0€  (upside +73.1%)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Christian Dior est la holding de controle de LVMH (41.5%) avec une decote structurelle de 15-20% sur sa valeur de marche. Acheter Dior c est acheter LVMH moins cher. La famille Arnault a investit 85M euros en janvier 2026. La decote peut se resorber par une OPE.</w:t>
            </w:r>
          </w:p>
        </w:tc>
        <w:tc>
          <w:tcPr>
            <w:tcW w:type="dxa" w:w="5100"/>
            <w:shd w:val="clear" w:color="auto" w:fill="FFF5F5"/>
          </w:tcPr>
          <w:p>
            <w:r>
              <w:rPr>
                <w:rFonts w:ascii="Arial" w:hAnsi="Arial"/>
                <w:b w:val="0"/>
                <w:i w:val="0"/>
                <w:color w:val="7C2C2C"/>
                <w:sz w:val="17"/>
              </w:rPr>
              <w:t>Decote peut persister indefiniment. Moins liquide que LVMH. Exposition concentree.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+73.1%. Appliquer le protocole du dimanche avant tout passage d'ordre. Taille max : 8% du PEA. Stop loss : 548.0€.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MLJR  </w:t>
            </w:r>
            <w:r>
              <w:rPr>
                <w:rFonts w:ascii="Arial" w:hAnsi="Arial"/>
                <w:b w:val="0"/>
                <w:i w:val="0"/>
                <w:color w:val="AABBCC"/>
                <w:sz w:val="19"/>
              </w:rPr>
              <w:t>Jean Rousseau</w:t>
            </w:r>
          </w:p>
          <w:p>
            <w:r>
              <w:rPr>
                <w:rFonts w:ascii="Arial" w:hAnsi="Arial"/>
                <w:b w:val="0"/>
                <w:i w:val="0"/>
                <w:color w:val="AABBCC"/>
                <w:sz w:val="16"/>
              </w:rPr>
              <w:t>Maroquinerie bracelets montres  ·  Score 95/100  ·  Zone 74.0–92.0€  ·  R/R 1.3x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85.0€  ·  Upside DCF : +20.0%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67.0€  (21.2%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(+27.1%)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102.0€  (upside +20.0%)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25.0%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Jean Rousseau fournit les bracelets cuir et bracelet metal des montres de luxe (Rolex, Patek Philippe, Cartier). ROE 25%, marges 17%, zero dette. Chaque montre de luxe vendue necessite le remplacement du bracelet tous les 3-5 ans. Savoir-faire parisien 170 ans impossible a reproduire.</w:t>
            </w:r>
          </w:p>
        </w:tc>
        <w:tc>
          <w:tcPr>
            <w:tcW w:type="dxa" w:w="5100"/>
            <w:shd w:val="clear" w:color="auto" w:fill="FFF5F5"/>
          </w:tcPr>
          <w:p>
            <w:r>
              <w:rPr>
                <w:rFonts w:ascii="Arial" w:hAnsi="Arial"/>
                <w:b w:val="0"/>
                <w:i w:val="0"/>
                <w:color w:val="7C2C2C"/>
                <w:sz w:val="17"/>
              </w:rPr>
              <w:t>Microcap tres peu liquide. Dependance a quelques grandes marques horlogeres. Cyclicite luxe.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1.3x. Upside DCF +20.0%. Appliquer le protocole du dimanche avant tout passage d'ordre. Taille max : 8% du PEA. Stop loss : 67.0€.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INTPRF  </w:t>
            </w:r>
            <w:r>
              <w:rPr>
                <w:rFonts w:ascii="Arial" w:hAnsi="Arial"/>
                <w:b w:val="0"/>
                <w:i w:val="0"/>
                <w:color w:val="AABBCC"/>
                <w:sz w:val="19"/>
              </w:rPr>
              <w:t>Interparfums</w:t>
            </w:r>
          </w:p>
          <w:p>
            <w:r>
              <w:rPr>
                <w:rFonts w:ascii="Arial" w:hAnsi="Arial"/>
                <w:b w:val="0"/>
                <w:i w:val="0"/>
                <w:color w:val="AABBCC"/>
                <w:sz w:val="16"/>
              </w:rPr>
              <w:t>Licences parfums luxe  ·  Score 95/100  ·  Zone 45.0–56.0€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22.22€  ·  Upside DCF : +179.0%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22.22€</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45.0€ – 56.0€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40.0€  (-80.0%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65.0€  (+192.5%)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62.0€  (upside +179.0%)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0.1x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Interparfums cree et distribue les parfums sous licence de grandes marques (Karl Lagerfeld, Lanvin, MCM). Zero dette, ROE 22%, Piotroski 8/9. Le modele asset-light (licence = pas d usine) genere des rendements exceptionnels. L Inde et l Asie sont les nouveaux eldorados du parfum premium.</w:t>
            </w:r>
          </w:p>
        </w:tc>
        <w:tc>
          <w:tcPr>
            <w:tcW w:type="dxa" w:w="5100"/>
            <w:shd w:val="clear" w:color="auto" w:fill="FFF5F5"/>
          </w:tcPr>
          <w:p>
            <w:r>
              <w:rPr>
                <w:rFonts w:ascii="Arial" w:hAnsi="Arial"/>
                <w:b w:val="0"/>
                <w:i w:val="0"/>
                <w:color w:val="7C2C2C"/>
                <w:sz w:val="17"/>
              </w:rPr>
              <w:t>Risque non-renouvellement des licences. Devise dollar. Marque peut perdre en desirabilite.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+179.0%. Appliquer le protocole du dimanche avant tout passage d'ordre. Taille max : 8% du PEA. Stop loss : 40.0€.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RMS  </w:t>
            </w:r>
            <w:r>
              <w:rPr>
                <w:rFonts w:ascii="Arial" w:hAnsi="Arial"/>
                <w:b w:val="0"/>
                <w:i w:val="0"/>
                <w:color w:val="AABBCC"/>
                <w:sz w:val="19"/>
              </w:rPr>
              <w:t>Hermès</w:t>
            </w:r>
          </w:p>
          <w:p>
            <w:r>
              <w:rPr>
                <w:rFonts w:ascii="Arial" w:hAnsi="Arial"/>
                <w:b w:val="0"/>
                <w:i w:val="0"/>
                <w:color w:val="AABBCC"/>
                <w:sz w:val="16"/>
              </w:rPr>
              <w:t>Luxe  ·  Score 90/100  ·  Zone 1520.0–1720.0€  ·  R/R 1.9x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1575.5€  ·  Upside DCF : +26.9%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1575.5€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1520.0€ – 1720.0€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1380.0€  (12.4%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1950.0€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2000.0€  (upside +26.9%)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1.9x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36.0%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42.0%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10.5%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50.0x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Hermès est l'actif le plus unique de la bourse mondiale. 42% de marge, zéro dette, famille aux commandes depuis 6 générations. La liste d'attente Birkin immunise contre les cycles.</w:t>
            </w:r>
          </w:p>
        </w:tc>
        <w:tc>
          <w:tcPr>
            <w:tcW w:type="dxa" w:w="5100"/>
            <w:shd w:val="clear" w:color="auto" w:fill="FFF5F5"/>
          </w:tcPr>
          <w:p>
            <w:r>
              <w:rPr>
                <w:rFonts w:ascii="Arial" w:hAnsi="Arial"/>
                <w:b w:val="0"/>
                <w:i w:val="0"/>
                <w:color w:val="7C2C2C"/>
                <w:sz w:val="17"/>
              </w:rPr>
              <w:t>50x PE ne permet aucune erreur. Risque succession familiale. Contrefaçon croissante en Asie.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1.9x. Upside DCF +26.9%. Appliquer le protocole du dimanche avant tout passage d'ordre. Taille max : 8% du PEA. Stop loss : 1380.0€.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SU  </w:t>
            </w:r>
            <w:r>
              <w:rPr>
                <w:rFonts w:ascii="Arial" w:hAnsi="Arial"/>
                <w:b w:val="0"/>
                <w:i w:val="0"/>
                <w:color w:val="AABBCC"/>
                <w:sz w:val="19"/>
              </w:rPr>
              <w:t>Schneider Electric</w:t>
            </w:r>
          </w:p>
          <w:p>
            <w:r>
              <w:rPr>
                <w:rFonts w:ascii="Arial" w:hAnsi="Arial"/>
                <w:b w:val="0"/>
                <w:i w:val="0"/>
                <w:color w:val="AABBCC"/>
                <w:sz w:val="16"/>
              </w:rPr>
              <w:t>Énergie &amp; Automatisation  ·  Score 90/100  ·  Zone 235.0–278.0€  ·  R/R 0.8x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263.75€  ·  Upside DCF : +19.4%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263.75€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235.0€ – 278.0€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210.0€  (20.4%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305.0€  (+15.6%)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315.0€  (upside +19.4%)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0.8x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Schneider est au centre de trois mégatendances : électrification, digitalisation, data centers IA. La demande data centers double tous les 4 ans.</w:t>
            </w:r>
          </w:p>
        </w:tc>
        <w:tc>
          <w:tcPr>
            <w:tcW w:type="dxa" w:w="5100"/>
            <w:shd w:val="clear" w:color="auto" w:fill="FFF5F5"/>
          </w:tcPr>
          <w:p>
            <w:r>
              <w:rPr>
                <w:rFonts w:ascii="Arial" w:hAnsi="Arial"/>
                <w:b w:val="0"/>
                <w:i w:val="0"/>
                <w:color w:val="7C2C2C"/>
                <w:sz w:val="17"/>
              </w:rPr>
              <w:t>Valorisation premium. Forte exposition USD. Concurrence ABB et Siemens sur les segments IA.</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0.8x. Upside DCF +19.4%. Appliquer le protocole du dimanche avant tout passage d'ordre. Taille max : 8% du PEA. Stop loss : 210.0€.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LR  </w:t>
            </w:r>
            <w:r>
              <w:rPr>
                <w:rFonts w:ascii="Arial" w:hAnsi="Arial"/>
                <w:b w:val="0"/>
                <w:i w:val="0"/>
                <w:color w:val="AABBCC"/>
                <w:sz w:val="19"/>
              </w:rPr>
              <w:t>Legrand</w:t>
            </w:r>
          </w:p>
          <w:p>
            <w:r>
              <w:rPr>
                <w:rFonts w:ascii="Arial" w:hAnsi="Arial"/>
                <w:b w:val="0"/>
                <w:i w:val="0"/>
                <w:color w:val="AABBCC"/>
                <w:sz w:val="16"/>
              </w:rPr>
              <w:t>Électricité bâtiment  ·  Score 90/100  ·  Zone 132.0–158.0€  ·  R/R 0.6x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152.1€  ·  Upside DCF : +13.1%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152.1€</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132.0€ – 158.0€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118.0€  (22.4%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172.0€  (+13.1%)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172.0€  (upside +13.1%)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0.6x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Legrand — 24 années de hausse du BPA. Data centers = 25% du CA croissant à 20%/an. Famille aux commandes = alignement parfait.</w:t>
            </w:r>
          </w:p>
        </w:tc>
        <w:tc>
          <w:tcPr>
            <w:tcW w:type="dxa" w:w="5100"/>
            <w:shd w:val="clear" w:color="auto" w:fill="FFF5F5"/>
          </w:tcPr>
          <w:p>
            <w:r>
              <w:rPr>
                <w:rFonts w:ascii="Arial" w:hAnsi="Arial"/>
                <w:b w:val="0"/>
                <w:i w:val="0"/>
                <w:color w:val="7C2C2C"/>
                <w:sz w:val="17"/>
              </w:rPr>
              <w:t>Valorisation premium. Exposition bâtiment résidentiel qui souffre des taux.</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0.6x. Upside DCF +13.1%. Appliquer le protocole du dimanche avant tout passage d'ordre. Taille max : 8% du PEA. Stop loss : 118.0€.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ABCA  </w:t>
            </w:r>
            <w:r>
              <w:rPr>
                <w:rFonts w:ascii="Arial" w:hAnsi="Arial"/>
                <w:b w:val="0"/>
                <w:i w:val="0"/>
                <w:color w:val="AABBCC"/>
                <w:sz w:val="19"/>
              </w:rPr>
              <w:t>ABC Arbitrage</w:t>
            </w:r>
          </w:p>
          <w:p>
            <w:r>
              <w:rPr>
                <w:rFonts w:ascii="Arial" w:hAnsi="Arial"/>
                <w:b w:val="0"/>
                <w:i w:val="0"/>
                <w:color w:val="AABBCC"/>
                <w:sz w:val="16"/>
              </w:rPr>
              <w:t>Arbitrage  ·  Score 90/100  ·  Zone 6.0–7.2€  ·  R/R 1.1x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6.8€  ·  Upside DCF : +10.3%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6.0€ – 7.2€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5.5€  (19.1%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8.2€  (+20.6%)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7.5€  (upside +10.3%)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25.0%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ABC Arbitrage : 25% de ROE, zéro dette, 7.2% de dividende. Les algorithmes fonctionnent mieux en période de volatilité élevée — et 2026 sera volatile.</w:t>
            </w:r>
          </w:p>
        </w:tc>
        <w:tc>
          <w:tcPr>
            <w:tcW w:type="dxa" w:w="5100"/>
            <w:shd w:val="clear" w:color="auto" w:fill="FFF5F5"/>
          </w:tcPr>
          <w:p>
            <w:r>
              <w:rPr>
                <w:rFonts w:ascii="Arial" w:hAnsi="Arial"/>
                <w:b w:val="0"/>
                <w:i w:val="0"/>
                <w:color w:val="7C2C2C"/>
                <w:sz w:val="17"/>
              </w:rPr>
              <w:t>Modèle opaque. Très peu liquide. Dépend de la volatilité pour performer.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1.1x. Upside DCF +10.3%. Appliquer le protocole du dimanche avant tout passage d'ordre. Taille max : 8% du PEA. Stop loss : 5.5€.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HO  </w:t>
            </w:r>
            <w:r>
              <w:rPr>
                <w:rFonts w:ascii="Arial" w:hAnsi="Arial"/>
                <w:b w:val="0"/>
                <w:i w:val="0"/>
                <w:color w:val="AABBCC"/>
                <w:sz w:val="19"/>
              </w:rPr>
              <w:t>Thales</w:t>
            </w:r>
          </w:p>
          <w:p>
            <w:r>
              <w:rPr>
                <w:rFonts w:ascii="Arial" w:hAnsi="Arial"/>
                <w:b w:val="0"/>
                <w:i w:val="0"/>
                <w:color w:val="AABBCC"/>
                <w:sz w:val="16"/>
              </w:rPr>
              <w:t>Défense &amp; Technologie  ·  Score 90/100  ·  Zone 228.0–268.0€  ·  R/R 5.2x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219.4€  ·  Upside DCF : +39.0%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219.4€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228.0€ – 268.0€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205.0€  (6.6%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295.0€  (+34.5%)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305.0€  (upside +39.0%)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5.2x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Thales est le bénéficiaire direct du réarmement européen post-Ukraine. Cybersécurité + défense = deux mégatendances simultanées. Carnet de commandes record.</w:t>
            </w:r>
          </w:p>
        </w:tc>
        <w:tc>
          <w:tcPr>
            <w:tcW w:type="dxa" w:w="5100"/>
            <w:shd w:val="clear" w:color="auto" w:fill="FFF5F5"/>
          </w:tcPr>
          <w:p>
            <w:r>
              <w:rPr>
                <w:rFonts w:ascii="Arial" w:hAnsi="Arial"/>
                <w:b w:val="0"/>
                <w:i w:val="0"/>
                <w:color w:val="7C2C2C"/>
                <w:sz w:val="17"/>
              </w:rPr>
              <w:t>Exposition exportations gouvernementales. Valorisation déjà bien pricée à 22x PE.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5.2x. Upside DCF +39.0%. Appliquer le protocole du dimanche avant tout passage d'ordre. Taille max : 8% du PEA. Stop loss : 205.0€.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ALFPC  </w:t>
            </w:r>
            <w:r>
              <w:rPr>
                <w:rFonts w:ascii="Arial" w:hAnsi="Arial"/>
                <w:b w:val="0"/>
                <w:i w:val="0"/>
                <w:color w:val="AABBCC"/>
                <w:sz w:val="19"/>
              </w:rPr>
              <w:t>Fountaine Pajot</w:t>
            </w:r>
          </w:p>
          <w:p>
            <w:r>
              <w:rPr>
                <w:rFonts w:ascii="Arial" w:hAnsi="Arial"/>
                <w:b w:val="0"/>
                <w:i w:val="0"/>
                <w:color w:val="AABBCC"/>
                <w:sz w:val="16"/>
              </w:rPr>
              <w:t>Catamarans voiliers  ·  Score 90/100  ·  Zone 82.0–96.0€  ·  R/R 1.3x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88.9€  ·  Upside DCF : +74.4%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88.9€</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82.0€ – 96.0€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74.0€  (16.8%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(+21.5%)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155.0€  (upside +74.4%)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Fountaine Pajot est le numero 1 mondial des catamarans a voile. Carnet de commandes plein 3 ans, ROE 24%, zero dette, famille fondatrice. Le nautisme premium croit de 8%/an structurellement sur la montee des classes moyennes mondiales.</w:t>
            </w:r>
          </w:p>
        </w:tc>
        <w:tc>
          <w:tcPr>
            <w:tcW w:type="dxa" w:w="5100"/>
            <w:shd w:val="clear" w:color="auto" w:fill="FFF5F5"/>
          </w:tcPr>
          <w:p>
            <w:r>
              <w:rPr>
                <w:rFonts w:ascii="Arial" w:hAnsi="Arial"/>
                <w:b w:val="0"/>
                <w:i w:val="0"/>
                <w:color w:val="7C2C2C"/>
                <w:sz w:val="17"/>
              </w:rPr>
              <w:t>Cyclicite loisirs premium. Expo devises (ventes en dollars). Carnet sensible aux annulations si recession.</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1.3x. Upside DCF +74.4%. Appliquer le protocole du dimanche avant tout passage d'ordre. Taille max : 8% du PEA. Stop loss : 74.0€.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LACBX  </w:t>
            </w:r>
            <w:r>
              <w:rPr>
                <w:rFonts w:ascii="Arial" w:hAnsi="Arial"/>
                <w:b w:val="0"/>
                <w:i w:val="0"/>
                <w:color w:val="AABBCC"/>
                <w:sz w:val="19"/>
              </w:rPr>
              <w:t>Lacroix Defense</w:t>
            </w:r>
          </w:p>
          <w:p>
            <w:r>
              <w:rPr>
                <w:rFonts w:ascii="Arial" w:hAnsi="Arial"/>
                <w:b w:val="0"/>
                <w:i w:val="0"/>
                <w:color w:val="AABBCC"/>
                <w:sz w:val="16"/>
              </w:rPr>
              <w:t>Pyrotechnie defense  ·  Score 90/100  ·  Zone 74.0–92.0€  ·  R/R 0x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16.8€  ·  Upside DCF : +483.3%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67.0€  (-298.8%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(+542.9%)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+483.3%)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Lacroix Defense est le specialiste francais de la pyrotechnie militaire — fusees eclairantes, leurres, artifices de defense. Avec la hausse des budgets de defense EU, ses commandes explosent. ROE 20%, famille aux commandes depuis 1894. Un beau dossier defense meconnu.</w:t>
            </w:r>
          </w:p>
        </w:tc>
        <w:tc>
          <w:tcPr>
            <w:tcW w:type="dxa" w:w="5100"/>
            <w:shd w:val="clear" w:color="auto" w:fill="FFF5F5"/>
          </w:tcPr>
          <w:p>
            <w:r>
              <w:rPr>
                <w:rFonts w:ascii="Arial" w:hAnsi="Arial"/>
                <w:b w:val="0"/>
                <w:i w:val="0"/>
                <w:color w:val="7C2C2C"/>
                <w:sz w:val="17"/>
              </w:rPr>
              <w:t>Risque accident industriel. Reglementation export stricte. Peu liquide.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0x. Upside DCF +483.3%. Appliquer le protocole du dimanche avant tout passage d'ordre. Taille max : 8% du PEA. Stop loss : 67.0€.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ESCAP  </w:t>
            </w:r>
            <w:r>
              <w:rPr>
                <w:rFonts w:ascii="Arial" w:hAnsi="Arial"/>
                <w:b w:val="0"/>
                <w:i w:val="0"/>
                <w:color w:val="AABBCC"/>
                <w:sz w:val="19"/>
              </w:rPr>
              <w:t>Esker SA</w:t>
            </w:r>
          </w:p>
          <w:p>
            <w:r>
              <w:rPr>
                <w:rFonts w:ascii="Arial" w:hAnsi="Arial"/>
                <w:b w:val="0"/>
                <w:i w:val="0"/>
                <w:color w:val="AABBCC"/>
                <w:sz w:val="16"/>
              </w:rPr>
              <w:t>SaaS dematerialisation  ·  Score 90/100  ·  Zone 165.0–200.0€  ·  R/R 1.2x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185.0€  ·  Upside DCF : +12.4%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165.0€ – 200.0€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148.0€  (20.0%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228.0€  (+23.2%)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208.0€  (upside +12.4%)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Esker est le leader mondial de la dematerialisation des processus Order-to-Cash et Procure-to-Pay. La directive EU sur la facturation electronique obligatoire est un catalyseur massif — chaque PME doit equiper ses processus d ici fin 2026. ROE 20%, Piotroski 8/9, CEO a achete 4.5M euros.</w:t>
            </w:r>
          </w:p>
        </w:tc>
        <w:tc>
          <w:tcPr>
            <w:tcW w:type="dxa" w:w="5100"/>
            <w:shd w:val="clear" w:color="auto" w:fill="FFF5F5"/>
          </w:tcPr>
          <w:p>
            <w:r>
              <w:rPr>
                <w:rFonts w:ascii="Arial" w:hAnsi="Arial"/>
                <w:b w:val="0"/>
                <w:i w:val="0"/>
                <w:color w:val="7C2C2C"/>
                <w:sz w:val="17"/>
              </w:rPr>
              <w:t>Valorisation 35x PE premium. SAP et Oracle attaquent avec des modules natifs.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1.2x. Upside DCF +12.4%. Appliquer le protocole du dimanche avant tout passage d'ordre. Taille max : 8% du PEA. Stop loss : 148.0€.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OR  </w:t>
            </w:r>
            <w:r>
              <w:rPr>
                <w:rFonts w:ascii="Arial" w:hAnsi="Arial"/>
                <w:b w:val="0"/>
                <w:i w:val="0"/>
                <w:color w:val="AABBCC"/>
                <w:sz w:val="19"/>
              </w:rPr>
            </w:r>
          </w:p>
          <w:p>
            <w:r>
              <w:rPr>
                <w:rFonts w:ascii="Arial" w:hAnsi="Arial"/>
                <w:b w:val="0"/>
                <w:i w:val="0"/>
                <w:color w:val="AABBCC"/>
                <w:sz w:val="16"/>
              </w:rPr>
              <w:t>Cosmétiques  ·  Score 85/100  ·  Zone 315.0–375.0€  ·  R/R 0.7x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357.1€  ·  Upside DCF : +12.0%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357.1€</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315.0€ – 375.0€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278.0€  (22.2%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410.0€  (+14.8%)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400.0€  (upside +12.0%)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0.7x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19.0%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L'Oréal capte la montée en gamme mondiale. Aucun concurrent ne combine R&amp;D dermatologique, distribution omnicanale et 37 marques couvrant tous les segments.</w:t>
            </w:r>
          </w:p>
        </w:tc>
        <w:tc>
          <w:tcPr>
            <w:tcW w:type="dxa" w:w="5100"/>
            <w:shd w:val="clear" w:color="auto" w:fill="FFF5F5"/>
          </w:tcPr>
          <w:p>
            <w:r>
              <w:rPr>
                <w:rFonts w:ascii="Arial" w:hAnsi="Arial"/>
                <w:b w:val="0"/>
                <w:i w:val="0"/>
                <w:color w:val="7C2C2C"/>
                <w:sz w:val="17"/>
              </w:rPr>
              <w:t>32x PE pour une croissance qui ralentit. La Chine déçoit. Marques DTC gagnent des parts.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0.7x. Upside DCF +12.0%. Appliquer le protocole du dimanche avant tout passage d'ordre. Taille max : 8% du PEA. Stop loss : 278.0€.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MLNMG  </w:t>
            </w:r>
            <w:r>
              <w:rPr>
                <w:rFonts w:ascii="Arial" w:hAnsi="Arial"/>
                <w:b w:val="0"/>
                <w:i w:val="0"/>
                <w:color w:val="AABBCC"/>
                <w:sz w:val="19"/>
              </w:rPr>
              <w:t>NMG Group</w:t>
            </w:r>
          </w:p>
          <w:p>
            <w:r>
              <w:rPr>
                <w:rFonts w:ascii="Arial" w:hAnsi="Arial"/>
                <w:b w:val="0"/>
                <w:i w:val="0"/>
                <w:color w:val="AABBCC"/>
                <w:sz w:val="16"/>
              </w:rPr>
              <w:t>Luxe &amp; Mode  ·  Score 85/100  ·  Zone 76.0–92.0€  ·  R/R 1.2x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85.0€  ·  Upside DCF : +11.8%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76.0€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68.0€  (20.0%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105.0€  (+23.5%)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95.0€  (upside +11.8%)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NMG est une pépite mode premium non couverte par les analystes. 20% de ROE, zéro dette, famille aux commandes.</w:t>
            </w:r>
          </w:p>
        </w:tc>
        <w:tc>
          <w:tcPr>
            <w:tcW w:type="dxa" w:w="5100"/>
            <w:shd w:val="clear" w:color="auto" w:fill="FFF5F5"/>
          </w:tcPr>
          <w:p>
            <w:r>
              <w:rPr>
                <w:rFonts w:ascii="Arial" w:hAnsi="Arial"/>
                <w:b w:val="0"/>
                <w:i w:val="0"/>
                <w:color w:val="7C2C2C"/>
                <w:sz w:val="17"/>
              </w:rPr>
              <w:t>Très illiquide. Taille insuffisante pour les institutionnels. Visibilité limitée.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1.2x. Upside DCF +11.8%. Appliquer le protocole du dimanche avant tout passage d'ordre. Taille max : 8% du PEA. Stop loss : 68.0€.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LVMHF  </w:t>
            </w:r>
            <w:r>
              <w:rPr>
                <w:rFonts w:ascii="Arial" w:hAnsi="Arial"/>
                <w:b w:val="0"/>
                <w:i w:val="0"/>
                <w:color w:val="AABBCC"/>
                <w:sz w:val="19"/>
              </w:rPr>
              <w:t>Ferrari SpA</w:t>
            </w:r>
          </w:p>
          <w:p>
            <w:r>
              <w:rPr>
                <w:rFonts w:ascii="Arial" w:hAnsi="Arial"/>
                <w:b w:val="0"/>
                <w:i w:val="0"/>
                <w:color w:val="AABBCC"/>
                <w:sz w:val="16"/>
              </w:rPr>
              <w:t>Luxe automobile  ·  Score 85/100  ·  Zone 325.0–375.0€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355.0€  ·  Upside DCF : +11.3%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325.0€ – 375.0€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298.0€  (16.1%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420.0€  (+18.3%)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395.0€  (upside +11.3%)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42.0%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9.2%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45.0x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Ferrari est Hermès sur roues. 45x PE pour une société qui produit intentionnellement moins que la demande. Liste d'attente 2 ans = pricing power illimité. Éligible PEA via Bourse de Milan.</w:t>
            </w:r>
          </w:p>
        </w:tc>
        <w:tc>
          <w:tcPr>
            <w:tcW w:type="dxa" w:w="5100"/>
            <w:shd w:val="clear" w:color="auto" w:fill="FFF5F5"/>
          </w:tcPr>
          <w:p>
            <w:r>
              <w:rPr>
                <w:rFonts w:ascii="Arial" w:hAnsi="Arial"/>
                <w:b w:val="0"/>
                <w:i w:val="0"/>
                <w:color w:val="7C2C2C"/>
                <w:sz w:val="17"/>
              </w:rPr>
              <w:t>45x PE n'accepte aucune erreur. Régulation VE européenne. Cyclicité luxe si récession sévère.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+11.3%. Appliquer le protocole du dimanche avant tout passage d'ordre. Taille max : 8% du PEA. Stop loss : 298.0€.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ENVEA  </w:t>
            </w:r>
            <w:r>
              <w:rPr>
                <w:rFonts w:ascii="Arial" w:hAnsi="Arial"/>
                <w:b w:val="0"/>
                <w:i w:val="0"/>
                <w:color w:val="AABBCC"/>
                <w:sz w:val="19"/>
              </w:rPr>
              <w:t>Envea</w:t>
            </w:r>
          </w:p>
          <w:p>
            <w:r>
              <w:rPr>
                <w:rFonts w:ascii="Arial" w:hAnsi="Arial"/>
                <w:b w:val="0"/>
                <w:i w:val="0"/>
                <w:color w:val="AABBCC"/>
                <w:sz w:val="16"/>
              </w:rPr>
              <w:t>Mesure pollution  ·  Score 85/100  ·  Zone 48.0–60.0€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55.0€  ·  Upside DCF : +12.7%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55.0€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48.0€ – 60.0€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43.0€  (21.8%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68.0€  (+23.6%)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62.0€  (upside +12.7%)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8.0%</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Envea fabrique les instruments qui mesurent la pollution de l air, de l eau et du sol. Le Green Deal EU oblige chaque industriel a equiper ses sites. C est une rente reglementaire — personne ne mesure sa pollution volontairement. ROE 20%, Piotroski 8/9. Une pepite meconnue.</w:t>
            </w:r>
          </w:p>
        </w:tc>
        <w:tc>
          <w:tcPr>
            <w:tcW w:type="dxa" w:w="5100"/>
            <w:shd w:val="clear" w:color="auto" w:fill="FFF5F5"/>
          </w:tcPr>
          <w:p>
            <w:r>
              <w:rPr>
                <w:rFonts w:ascii="Arial" w:hAnsi="Arial"/>
                <w:b w:val="0"/>
                <w:i w:val="0"/>
                <w:color w:val="7C2C2C"/>
                <w:sz w:val="17"/>
              </w:rPr>
              <w:t>Taille limitee. Si la reglementation se relache, la demande baisse. Peu liquide.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+12.7%. Appliquer le protocole du dimanche avant tout passage d'ordre. Taille max : 8% du PEA. Stop loss : 43.0€.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ITRLN  </w:t>
            </w:r>
            <w:r>
              <w:rPr>
                <w:rFonts w:ascii="Arial" w:hAnsi="Arial"/>
                <w:b w:val="0"/>
                <w:i w:val="0"/>
                <w:color w:val="AABBCC"/>
                <w:sz w:val="19"/>
              </w:rPr>
              <w:t>Interroll</w:t>
            </w:r>
          </w:p>
          <w:p>
            <w:r>
              <w:rPr>
                <w:rFonts w:ascii="Arial" w:hAnsi="Arial"/>
                <w:b w:val="0"/>
                <w:i w:val="0"/>
                <w:color w:val="AABBCC"/>
                <w:sz w:val="16"/>
              </w:rPr>
              <w:t>Logistique conveyor  ·  Score 85/100  ·  Zone 1980.0–2420.0€  ·  R/R 1.0x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2250.0€  ·  Upside DCF : +12.0%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2250.0€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1980.0€ – 2420.0€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1780.0€  (20.9%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2720.0€  (+20.9%)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2520.0€  (upside +12.0%)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Interroll fabrique les systemes de convoyage et de tri dans les entrepots d e-commerce d Amazon, UPS et DHL. Chaque colis commande en ligne passe sur ses equipements. La croissance du e-commerce est sa croissance. ROE 20% constant, famille suisse depuis 1959.</w:t>
            </w:r>
          </w:p>
        </w:tc>
        <w:tc>
          <w:tcPr>
            <w:tcW w:type="dxa" w:w="5100"/>
            <w:shd w:val="clear" w:color="auto" w:fill="FFF5F5"/>
          </w:tcPr>
          <w:p>
            <w:r>
              <w:rPr>
                <w:rFonts w:ascii="Arial" w:hAnsi="Arial"/>
                <w:b w:val="0"/>
                <w:i w:val="0"/>
                <w:color w:val="7C2C2C"/>
                <w:sz w:val="17"/>
              </w:rPr>
              <w:t>Valorisation premium 28x PE. Cyclicite e-commerce. Coté SIX Zurich — eligibilite PEA a confirmer.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1.0x. Upside DCF +12.0%. Appliquer le protocole du dimanche avant tout passage d'ordre. Taille max : 8% du PEA. Stop loss : 1780.0€.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ALIDS  </w:t>
            </w:r>
            <w:r>
              <w:rPr>
                <w:rFonts w:ascii="Arial" w:hAnsi="Arial"/>
                <w:b w:val="0"/>
                <w:i w:val="0"/>
                <w:color w:val="AABBCC"/>
                <w:sz w:val="19"/>
              </w:rPr>
              <w:t>IDS Defense</w:t>
            </w:r>
          </w:p>
          <w:p>
            <w:r>
              <w:rPr>
                <w:rFonts w:ascii="Arial" w:hAnsi="Arial"/>
                <w:b w:val="0"/>
                <w:i w:val="0"/>
                <w:color w:val="AABBCC"/>
                <w:sz w:val="16"/>
              </w:rPr>
              <w:t>Simulation combat naval  ·  Score 85/100  ·  Zone 19.0–24.0€  ·  R/R 1.3x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22.0€  ·  Upside DCF : +18.2%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19.0€ – 24.0€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17.5€  (20.5%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28.0€  (+27.3%)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26.0€  (upside +18.2%)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IDS developpe des simulateurs de combat naval pour les marines militaires. Chaque fregate livree necessite des annees de formation sur simulateur. Avec le rearmement EU, les commandes explosent. ROE 18%.</w:t>
            </w:r>
          </w:p>
        </w:tc>
        <w:tc>
          <w:tcPr>
            <w:tcW w:type="dxa" w:w="5100"/>
            <w:shd w:val="clear" w:color="auto" w:fill="FFF5F5"/>
          </w:tcPr>
          <w:p>
            <w:r>
              <w:rPr>
                <w:rFonts w:ascii="Arial" w:hAnsi="Arial"/>
                <w:b w:val="0"/>
                <w:i w:val="0"/>
                <w:color w:val="7C2C2C"/>
                <w:sz w:val="17"/>
              </w:rPr>
              <w:t>Peu liquide. Contrats longs. Taille limitee.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1.3x. Upside DCF +18.2%. Appliquer le protocole du dimanche avant tout passage d'ordre. Taille max : 8% du PEA. Stop loss : 17.5€.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SODITECH  </w:t>
            </w:r>
            <w:r>
              <w:rPr>
                <w:rFonts w:ascii="Arial" w:hAnsi="Arial"/>
                <w:b w:val="0"/>
                <w:i w:val="0"/>
                <w:color w:val="AABBCC"/>
                <w:sz w:val="19"/>
              </w:rPr>
              <w:t>Soditech Spatial</w:t>
            </w:r>
          </w:p>
          <w:p>
            <w:r>
              <w:rPr>
                <w:rFonts w:ascii="Arial" w:hAnsi="Arial"/>
                <w:b w:val="0"/>
                <w:i w:val="0"/>
                <w:color w:val="AABBCC"/>
                <w:sz w:val="16"/>
              </w:rPr>
              <w:t>Ingenierie thermique spatial  ·  Score 85/100  ·  Zone 15.5–19.5€  ·  R/R 1.2x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18.0€  ·  Upside DCF : +16.7%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15.5€ – 19.5€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14.0€  (22.2%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23.0€  (+27.8%)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21.0€  (upside +16.7%)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19.0%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Soditech est le specialiste du controle thermique des satellites — niche ultra-critique ou chaque satellite contient ses equipements. CNES et ESA clients captifs. Avec OneWeb et New Space, commandes accelerent. ROE 19%.</w:t>
            </w:r>
          </w:p>
        </w:tc>
        <w:tc>
          <w:tcPr>
            <w:tcW w:type="dxa" w:w="5100"/>
            <w:shd w:val="clear" w:color="auto" w:fill="FFF5F5"/>
          </w:tcPr>
          <w:p>
            <w:r>
              <w:rPr>
                <w:rFonts w:ascii="Arial" w:hAnsi="Arial"/>
                <w:b w:val="0"/>
                <w:i w:val="0"/>
                <w:color w:val="7C2C2C"/>
                <w:sz w:val="17"/>
              </w:rPr>
              <w:t>Peu liquide. Dependance programme Ariane.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1.2x. Upside DCF +16.7%. Appliquer le protocole du dimanche avant tout passage d'ordre. Taille max : 8% du PEA. Stop loss : 14.0€.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IDSF  </w:t>
            </w:r>
            <w:r>
              <w:rPr>
                <w:rFonts w:ascii="Arial" w:hAnsi="Arial"/>
                <w:b w:val="0"/>
                <w:i w:val="0"/>
                <w:color w:val="AABBCC"/>
                <w:sz w:val="19"/>
              </w:rPr>
              <w:t>Infotel</w:t>
            </w:r>
          </w:p>
          <w:p>
            <w:r>
              <w:rPr>
                <w:rFonts w:ascii="Arial" w:hAnsi="Arial"/>
                <w:b w:val="0"/>
                <w:i w:val="0"/>
                <w:color w:val="AABBCC"/>
                <w:sz w:val="16"/>
              </w:rPr>
              <w:t>ESN IT finance  ·  Score 85/100  ·  Zone 36.0–46.0€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42.0€  ·  Upside DCF : +19.0%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33.0€  (21.4%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50.0€  (upside +19.0%)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8.0%</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Infotel est une ESN qui fait exclusivement de l informatique pour les banques et assurances — les systemes les plus complexes et les plus critiques. BNP, SocGen, AXA ne peuvent pas se passer de ses equipes. ROE 22%, zero dette, dividende 3.8%. Une perle meconnue.</w:t>
            </w:r>
          </w:p>
        </w:tc>
        <w:tc>
          <w:tcPr>
            <w:tcW w:type="dxa" w:w="5100"/>
            <w:shd w:val="clear" w:color="auto" w:fill="FFF5F5"/>
          </w:tcPr>
          <w:p>
            <w:r>
              <w:rPr>
                <w:rFonts w:ascii="Arial" w:hAnsi="Arial"/>
                <w:b w:val="0"/>
                <w:i w:val="0"/>
                <w:color w:val="7C2C2C"/>
                <w:sz w:val="17"/>
              </w:rPr>
              <w:t>Marche tres concentre (finance). Cyclicite bancaire. Concurrence Sopra Steria sur la meme niche.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+19.0%. Appliquer le protocole du dimanche avant tout passage d'ordre. Taille max : 8% du PEA. Stop loss : 33.0€.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MLHRZ  </w:t>
            </w:r>
            <w:r>
              <w:rPr>
                <w:rFonts w:ascii="Arial" w:hAnsi="Arial"/>
                <w:b w:val="0"/>
                <w:i w:val="0"/>
                <w:color w:val="AABBCC"/>
                <w:sz w:val="19"/>
              </w:rPr>
              <w:t>Horiba</w:t>
            </w:r>
          </w:p>
          <w:p>
            <w:r>
              <w:rPr>
                <w:rFonts w:ascii="Arial" w:hAnsi="Arial"/>
                <w:b w:val="0"/>
                <w:i w:val="0"/>
                <w:color w:val="AABBCC"/>
                <w:sz w:val="16"/>
              </w:rPr>
              <w:t>Instruments scientifiques  ·  Score 85/100  ·  Zone 60.0–74.0€  ·  R/R 1.4x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68.0€  ·  Upside DCF : +20.6%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60.0€ – 74.0€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54.0€  (20.6%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88.0€  (+29.4%)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82.0€  (upside +20.6%)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1.4x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Horiba fabrique les instruments qui testent et analysent les semi-conducteurs pendant leur fabrication — impossible de produire des puces sans ses equipements. Chaque nouvelle generation de puce necessite de nouveaux instruments Horiba. ROE 18%, Piotroski 8/9.</w:t>
            </w:r>
          </w:p>
        </w:tc>
        <w:tc>
          <w:tcPr>
            <w:tcW w:type="dxa" w:w="5100"/>
            <w:shd w:val="clear" w:color="auto" w:fill="FFF5F5"/>
          </w:tcPr>
          <w:p>
            <w:r>
              <w:rPr>
                <w:rFonts w:ascii="Arial" w:hAnsi="Arial"/>
                <w:b w:val="0"/>
                <w:i w:val="0"/>
                <w:color w:val="7C2C2C"/>
                <w:sz w:val="17"/>
              </w:rPr>
              <w:t>Coté Tokyo — verifier eligibilite PEA. Cyclicite semi. Yen fort comprime les profits en euros.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1.4x. Upside DCF +20.6%. Appliquer le protocole du dimanche avant tout passage d'ordre. Taille max : 8% du PEA. Stop loss : 54.0€.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AI  </w:t>
            </w:r>
            <w:r>
              <w:rPr>
                <w:rFonts w:ascii="Arial" w:hAnsi="Arial"/>
                <w:b w:val="0"/>
                <w:i w:val="0"/>
                <w:color w:val="AABBCC"/>
                <w:sz w:val="19"/>
              </w:rPr>
              <w:t>Air Liquide</w:t>
            </w:r>
          </w:p>
          <w:p>
            <w:r>
              <w:rPr>
                <w:rFonts w:ascii="Arial" w:hAnsi="Arial"/>
                <w:b w:val="0"/>
                <w:i w:val="0"/>
                <w:color w:val="AABBCC"/>
                <w:sz w:val="16"/>
              </w:rPr>
              <w:t>Gaz industriels  ·  Score 82/100  ·  Zone 172.0–195.0€  ·  R/R 1.9x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176.24€  ·  Upside DCF : +16.3%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176.24€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172.0€ – 195.0€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158.0€  (10.3%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210.0€  (+19.2%)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205.0€  (upside +16.3%)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1.9x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13.0%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5.8%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Air Liquide est l'infrastructure invisible de l'industrie mondiale. 29 années consécutives de hausse du dividende. Contrats 15-20 ans take-or-pay = cash flows quasi-certains.</w:t>
            </w:r>
          </w:p>
        </w:tc>
        <w:tc>
          <w:tcPr>
            <w:tcW w:type="dxa" w:w="5100"/>
            <w:shd w:val="clear" w:color="auto" w:fill="FFF5F5"/>
          </w:tcPr>
          <w:p>
            <w:r>
              <w:rPr>
                <w:rFonts w:ascii="Arial" w:hAnsi="Arial"/>
                <w:b w:val="0"/>
                <w:i w:val="0"/>
                <w:color w:val="7C2C2C"/>
                <w:sz w:val="17"/>
              </w:rPr>
              <w:t>Valorisation premium. CAPEX très lourd (12.4% CA) pour l'hydrogène dont le retour reste incertain.</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1.9x. Upside DCF +16.3%. Appliquer le protocole du dimanche avant tout passage d'ordre. Taille max : 8% du PEA. Stop loss : 158.0€.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SELENV  </w:t>
            </w:r>
            <w:r>
              <w:rPr>
                <w:rFonts w:ascii="Arial" w:hAnsi="Arial"/>
                <w:b w:val="0"/>
                <w:i w:val="0"/>
                <w:color w:val="AABBCC"/>
                <w:sz w:val="19"/>
              </w:rPr>
              <w:t>Seche Environnement</w:t>
            </w:r>
          </w:p>
          <w:p>
            <w:r>
              <w:rPr>
                <w:rFonts w:ascii="Arial" w:hAnsi="Arial"/>
                <w:b w:val="0"/>
                <w:i w:val="0"/>
                <w:color w:val="AABBCC"/>
                <w:sz w:val="16"/>
              </w:rPr>
              <w:t>Dechets dangereux  ·  Score 82/100  ·  Zone 74.0–92.0€  ·  R/R 1.1x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85.0€  ·  Upside DCF : +15.3%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66.0€  (22.4%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105.0€  (+23.5%)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+15.3%)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2.0x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Seche Environnement incinere les dechets industriels dangereux. Chaque autorisation prefectorale prend 10-15 ans a obtenir — personne ne peut ouvrir un concurrent demain. Moat reglementaire absolu. ROE 18%, famille fondatrice aux commandes. La pepite du traitement des dechets.</w:t>
            </w:r>
          </w:p>
        </w:tc>
        <w:tc>
          <w:tcPr>
            <w:tcW w:type="dxa" w:w="5100"/>
            <w:shd w:val="clear" w:color="auto" w:fill="FFF5F5"/>
          </w:tcPr>
          <w:p>
            <w:r>
              <w:rPr>
                <w:rFonts w:ascii="Arial" w:hAnsi="Arial"/>
                <w:b w:val="0"/>
                <w:i w:val="0"/>
                <w:color w:val="7C2C2C"/>
                <w:sz w:val="17"/>
              </w:rPr>
              <w:t>CAPEX intensif. Accidents industriels = risque reputationnel. Dette a surveiller.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1.1x. Upside DCF +15.3%. Appliquer le protocole du dimanche avant tout passage d'ordre. Taille max : 8% du PEA. Stop loss : 66.0€.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COGEFI  </w:t>
            </w:r>
            <w:r>
              <w:rPr>
                <w:rFonts w:ascii="Arial" w:hAnsi="Arial"/>
                <w:b w:val="0"/>
                <w:i w:val="0"/>
                <w:color w:val="AABBCC"/>
                <w:sz w:val="19"/>
              </w:rPr>
              <w:t>Cogefi Selection</w:t>
            </w:r>
          </w:p>
          <w:p>
            <w:r>
              <w:rPr>
                <w:rFonts w:ascii="Arial" w:hAnsi="Arial"/>
                <w:b w:val="0"/>
                <w:i w:val="0"/>
                <w:color w:val="AABBCC"/>
                <w:sz w:val="16"/>
              </w:rPr>
              <w:t>Assurance crédit  ·  Score 80/100  ·  Zone 11.5–13.2€  ·  R/R 1.2x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12.8€  ·  Upside DCF : +21.1%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12.8€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11.5€ – 13.2€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10.2€  (20.3%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16.0€  (+25.0%)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15.5€  (upside +21.1%)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9.8%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45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Coface : 8.2% de dividende couvert 2x. CEO a acheté pour 1.2M€ en février 2026 — signal fort. Sinistralité au plus bas.</w:t>
            </w:r>
          </w:p>
        </w:tc>
        <w:tc>
          <w:tcPr>
            <w:tcW w:type="dxa" w:w="5100"/>
            <w:shd w:val="clear" w:color="auto" w:fill="FFF5F5"/>
          </w:tcPr>
          <w:p>
            <w:r>
              <w:rPr>
                <w:rFonts w:ascii="Arial" w:hAnsi="Arial"/>
                <w:b w:val="0"/>
                <w:i w:val="0"/>
                <w:color w:val="7C2C2C"/>
                <w:sz w:val="17"/>
              </w:rPr>
              <w:t>Cyclique sur les faillites. Retournement économique = explosion des sinistres.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1.2x. Upside DCF +21.1%. Appliquer le protocole du dimanche avant tout passage d'ordre. Taille max : 8% du PEA. Stop loss : 10.2€.</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THERMADOR  </w:t>
            </w:r>
            <w:r>
              <w:rPr>
                <w:rFonts w:ascii="Arial" w:hAnsi="Arial"/>
                <w:b w:val="0"/>
                <w:i w:val="0"/>
                <w:color w:val="AABBCC"/>
                <w:sz w:val="19"/>
              </w:rPr>
              <w:t>Thermador</w:t>
            </w:r>
          </w:p>
          <w:p>
            <w:r>
              <w:rPr>
                <w:rFonts w:ascii="Arial" w:hAnsi="Arial"/>
                <w:b w:val="0"/>
                <w:i w:val="0"/>
                <w:color w:val="AABBCC"/>
                <w:sz w:val="16"/>
              </w:rPr>
              <w:t>Distribution eau  ·  Score 80/100  ·  Zone 78.0–95.0€  ·  R/R 0x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68.4€  ·  Upside DCF : +43.3%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78.0€ – 95.0€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70.0€  (-2.3%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(+57.9%)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+43.3%)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Thermador est leader de la distribution robinetterie/eau en France avec zéro dette et 18% de ROE. Pépite méconnue, famille aux commandes.</w:t>
            </w:r>
          </w:p>
        </w:tc>
        <w:tc>
          <w:tcPr>
            <w:tcW w:type="dxa" w:w="5100"/>
            <w:shd w:val="clear" w:color="auto" w:fill="FFF5F5"/>
          </w:tcPr>
          <w:p>
            <w:r>
              <w:rPr>
                <w:rFonts w:ascii="Arial" w:hAnsi="Arial"/>
                <w:b w:val="0"/>
                <w:i w:val="0"/>
                <w:color w:val="7C2C2C"/>
                <w:sz w:val="17"/>
              </w:rPr>
              <w:t>Très peu liquide. Bâtiment cyclique.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0x. Upside DCF +43.3%. Appliquer le protocole du dimanche avant tout passage d'ordre. Taille max : 8% du PEA. Stop loss : 70.0€.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RADIALL  </w:t>
            </w:r>
            <w:r>
              <w:rPr>
                <w:rFonts w:ascii="Arial" w:hAnsi="Arial"/>
                <w:b w:val="0"/>
                <w:i w:val="0"/>
                <w:color w:val="AABBCC"/>
                <w:sz w:val="19"/>
              </w:rPr>
              <w:t>Radiall</w:t>
            </w:r>
          </w:p>
          <w:p>
            <w:r>
              <w:rPr>
                <w:rFonts w:ascii="Arial" w:hAnsi="Arial"/>
                <w:b w:val="0"/>
                <w:i w:val="0"/>
                <w:color w:val="AABBCC"/>
                <w:sz w:val="16"/>
              </w:rPr>
              <w:t>Connecteurs RF defense  ·  Score 80/100  ·  Zone 172.0–210.0€  ·  R/R 0.9x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195.0€  ·  Upside DCF : +11.8%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195.0€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172.0€ – 210.0€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155.0€  (20.5%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232.0€  (+19.0%)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218.0€  (upside +11.8%)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0.9x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Radiall fabrique les connecteurs radiofrequence qui relient les systemes electroniques dans chaque missile, avion de combat et satellite. Ce sont des composants critiques ou la qualite prime sur le prix. Famille Gattaz aux commandes depuis 1952 avec un track record de rigueur industrielle exemplaire...</w:t>
            </w:r>
          </w:p>
        </w:tc>
        <w:tc>
          <w:tcPr>
            <w:tcW w:type="dxa" w:w="5100"/>
            <w:shd w:val="clear" w:color="auto" w:fill="FFF5F5"/>
          </w:tcPr>
          <w:p>
            <w:r>
              <w:rPr>
                <w:rFonts w:ascii="Arial" w:hAnsi="Arial"/>
                <w:b w:val="0"/>
                <w:i w:val="0"/>
                <w:color w:val="7C2C2C"/>
                <w:sz w:val="17"/>
              </w:rPr>
              <w:t>Tres peu liquide (famille 98%). Cyclicite defense sur les grands programmes. Taille limitee vs Amphenol 10Md€ CA.</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0.9x. Upside DCF +11.8%. Appliquer le protocole du dimanche avant tout passage d'ordre. Taille max : 8% du PEA. Stop loss : 155.0€.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TRGO  </w:t>
            </w:r>
            <w:r>
              <w:rPr>
                <w:rFonts w:ascii="Arial" w:hAnsi="Arial"/>
                <w:b w:val="0"/>
                <w:i w:val="0"/>
                <w:color w:val="AABBCC"/>
                <w:sz w:val="19"/>
              </w:rPr>
              <w:t>Trigano Camping Cars</w:t>
            </w:r>
          </w:p>
          <w:p>
            <w:r>
              <w:rPr>
                <w:rFonts w:ascii="Arial" w:hAnsi="Arial"/>
                <w:b w:val="0"/>
                <w:i w:val="0"/>
                <w:color w:val="AABBCC"/>
                <w:sz w:val="16"/>
              </w:rPr>
              <w:t>Vehicules loisirs camping  ·  Score 80/100  ·  Zone 148.0–182.0€  ·  R/R 1.9x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158.3€  ·  Upside DCF : +23.2%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158.3€</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148.0€ – 182.0€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132.0€  (16.6%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208.0€  (+31.4%)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195.0€  (upside +23.2%)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1.9x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Trigano est le leader europeen du camping-car sous toutes ses formes (van, integraux, semis). La generation baby-boom part a la retraite avec du pouvoir d achat et choisit massivement le tourisme itinerant. ROE 22%, carnet 18 mois plein, famille fondatrice. Une pepite meconnue du secteur loisir.</w:t>
            </w:r>
          </w:p>
        </w:tc>
        <w:tc>
          <w:tcPr>
            <w:tcW w:type="dxa" w:w="5100"/>
            <w:shd w:val="clear" w:color="auto" w:fill="FFF5F5"/>
          </w:tcPr>
          <w:p>
            <w:r>
              <w:rPr>
                <w:rFonts w:ascii="Arial" w:hAnsi="Arial"/>
                <w:b w:val="0"/>
                <w:i w:val="0"/>
                <w:color w:val="7C2C2C"/>
                <w:sz w:val="17"/>
              </w:rPr>
              <w:t>Cyclicite loisirs premium. Carburant = frein a l adoption VE. Carnet plein mais sensible aux annulations.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1.9x. Upside DCF +23.2%. Appliquer le protocole du dimanche avant tout passage d'ordre. Taille max : 8% du PEA. Stop loss : 132.0€.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THERMD  </w:t>
            </w:r>
            <w:r>
              <w:rPr>
                <w:rFonts w:ascii="Arial" w:hAnsi="Arial"/>
                <w:b w:val="0"/>
                <w:i w:val="0"/>
                <w:color w:val="AABBCC"/>
                <w:sz w:val="19"/>
              </w:rPr>
              <w:t>Thermador Groupe</w:t>
            </w:r>
          </w:p>
          <w:p>
            <w:r>
              <w:rPr>
                <w:rFonts w:ascii="Arial" w:hAnsi="Arial"/>
                <w:b w:val="0"/>
                <w:i w:val="0"/>
                <w:color w:val="AABBCC"/>
                <w:sz w:val="16"/>
              </w:rPr>
              <w:t>Distribution robinetterie chauffage  ·  Score 80/100  ·  Zone 63.0–78.0€  ·  R/R 1.7x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68.4€  ·  Upside DCF : +24.3%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63.0€ – 78.0€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57.0€  (16.7%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88.0€  (+28.7%)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85.0€  (upside +24.3%)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1.7x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23.0%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0.1x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11.0x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Thermador distribue la robinetterie, les pompes et equipements de chauffage. Piotroski 9/9 — score parfait. ROE 23%, zero dette, dividende 4.5%. Modele buy-and-build acquiert des distributeurs regionaux rentables. La transition vers les pompes a chaleur est son marche du futur.</w:t>
            </w:r>
          </w:p>
        </w:tc>
        <w:tc>
          <w:tcPr>
            <w:tcW w:type="dxa" w:w="5100"/>
            <w:shd w:val="clear" w:color="auto" w:fill="FFF5F5"/>
          </w:tcPr>
          <w:p>
            <w:r>
              <w:rPr>
                <w:rFonts w:ascii="Arial" w:hAnsi="Arial"/>
                <w:b w:val="0"/>
                <w:i w:val="0"/>
                <w:color w:val="7C2C2C"/>
                <w:sz w:val="17"/>
              </w:rPr>
              <w:t>Tres peu liquide. Cyclicite construction. Taille insuffisante pour les institutionnels.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1.7x. Upside DCF +24.3%. Appliquer le protocole du dimanche avant tout passage d'ordre. Taille max : 8% du PEA. Stop loss : 57.0€.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NEXANS  </w:t>
            </w:r>
            <w:r>
              <w:rPr>
                <w:rFonts w:ascii="Arial" w:hAnsi="Arial"/>
                <w:b w:val="0"/>
                <w:i w:val="0"/>
                <w:color w:val="AABBCC"/>
                <w:sz w:val="19"/>
              </w:rPr>
              <w:t>Nexans</w:t>
            </w:r>
          </w:p>
          <w:p>
            <w:r>
              <w:rPr>
                <w:rFonts w:ascii="Arial" w:hAnsi="Arial"/>
                <w:b w:val="0"/>
                <w:i w:val="0"/>
                <w:color w:val="AABBCC"/>
                <w:sz w:val="16"/>
              </w:rPr>
              <w:t>Câbles  ·  Score 77/100  ·  Zone 147.5–179.6€  ·  R/R 1.3x</w:t>
            </w:r>
          </w:p>
        </w:tc>
        <w:tc>
          <w:tcPr>
            <w:tcW w:type="dxa" w:w="5100"/>
            <w:shd w:val="clear" w:color="auto" w:fill="065F46"/>
          </w:tcPr>
          <w:p>
            <w:pPr>
              <w:jc w:val="right"/>
            </w:pPr>
            <w:r>
              <w:rPr>
                <w:rFonts w:ascii="Arial" w:hAnsi="Arial"/>
                <w:b/>
                <w:i w:val="0"/>
                <w:color w:val="F0D080"/>
                <w:sz w:val="44"/>
              </w:rPr>
              <w:t xml:space="preserve">77/100  </w:t>
            </w:r>
          </w:p>
          <w:p>
            <w:pPr>
              <w:jc w:val="right"/>
            </w:pPr>
            <w:r>
              <w:rPr>
                <w:rFonts w:ascii="Arial" w:hAnsi="Arial"/>
                <w:b w:val="0"/>
                <w:i w:val="0"/>
                <w:color w:val="AABBCC"/>
                <w:sz w:val="18"/>
              </w:rPr>
              <w:t>Cours : 163.4€  ·  Upside DCF : +13.4%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163.4€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147.5€ – 179.6€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132.4€  (19.0%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204.2€  (+25.0%)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185.3€  (upside +13.4%)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6.8%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55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77/100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Nexans est au cœur de la transition énergétique. Les câbles sous-marins pour l'éolien offshore sont en pénurie structurelle. Carnet record.</w:t>
            </w:r>
          </w:p>
        </w:tc>
        <w:tc>
          <w:tcPr>
            <w:tcW w:type="dxa" w:w="5100"/>
            <w:shd w:val="clear" w:color="auto" w:fill="FFF5F5"/>
          </w:tcPr>
          <w:p>
            <w:r>
              <w:rPr>
                <w:rFonts w:ascii="Arial" w:hAnsi="Arial"/>
                <w:b w:val="0"/>
                <w:i w:val="0"/>
                <w:color w:val="7C2C2C"/>
                <w:sz w:val="17"/>
              </w:rPr>
              <w:t>Exposition forte au prix du cuivre. Prysmian reste plus large et plus rentable.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77/100 + en zone d'achat. R/R 1.3x. Upside DCF +13.4%. Appliquer le protocole du dimanche avant tout passage d'ordre. Taille max : 8% du PEA. Stop loss : 132.4€.</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CLASQUIN  </w:t>
            </w:r>
            <w:r>
              <w:rPr>
                <w:rFonts w:ascii="Arial" w:hAnsi="Arial"/>
                <w:b w:val="0"/>
                <w:i w:val="0"/>
                <w:color w:val="AABBCC"/>
                <w:sz w:val="19"/>
              </w:rPr>
              <w:t>Clasquin</w:t>
            </w:r>
          </w:p>
          <w:p>
            <w:r>
              <w:rPr>
                <w:rFonts w:ascii="Arial" w:hAnsi="Arial"/>
                <w:b w:val="0"/>
                <w:i w:val="0"/>
                <w:color w:val="AABBCC"/>
                <w:sz w:val="16"/>
              </w:rPr>
              <w:t>Transit international  ·  Score 70/100  ·  Zone 36.0–46.0€  ·  R/R 1.0x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42.0€  ·  Upside DCF : +11.9%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(23.8%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47.0€  (upside +11.9%)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Clasquin est un transitaire premium Asie/Europe avec 18% de ROE et zéro dette. Famille lyonnaise aux commandes depuis 40 ans.</w:t>
            </w:r>
          </w:p>
        </w:tc>
        <w:tc>
          <w:tcPr>
            <w:tcW w:type="dxa" w:w="5100"/>
            <w:shd w:val="clear" w:color="auto" w:fill="FFF5F5"/>
          </w:tcPr>
          <w:p>
            <w:r>
              <w:rPr>
                <w:rFonts w:ascii="Arial" w:hAnsi="Arial"/>
                <w:b w:val="0"/>
                <w:i w:val="0"/>
                <w:color w:val="7C2C2C"/>
                <w:sz w:val="17"/>
              </w:rPr>
              <w:t>Très peu liquide. Cyclicité fret forte. Normalisation post-COVID compresse les marges.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1.0x. Upside DCF +11.9%.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ALCLF  </w:t>
            </w:r>
            <w:r>
              <w:rPr>
                <w:rFonts w:ascii="Arial" w:hAnsi="Arial"/>
                <w:b w:val="0"/>
                <w:i w:val="0"/>
                <w:color w:val="AABBCC"/>
                <w:sz w:val="19"/>
              </w:rPr>
              <w:t>Clasquin</w:t>
            </w:r>
          </w:p>
          <w:p>
            <w:r>
              <w:rPr>
                <w:rFonts w:ascii="Arial" w:hAnsi="Arial"/>
                <w:b w:val="0"/>
                <w:i w:val="0"/>
                <w:color w:val="AABBCC"/>
                <w:sz w:val="16"/>
              </w:rPr>
              <w:t>Transit international  ·  Score 70/100  ·  Zone 36.0–46.0€  ·  R/R 1.0x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42.0€  ·  Upside DCF : +11.9%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(23.8%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47.0€  (upside +11.9%)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Clasquin est le transitaire premium Asie-Europe avec 18% de ROE et zero dette. La famille lyonnaise dirige depuis 40 ans avec une culture de service client exceptionnel que les grands (Geodis, DHL) ne peuvent pas reproduire. Dividende 4.5% croissant.</w:t>
            </w:r>
          </w:p>
        </w:tc>
        <w:tc>
          <w:tcPr>
            <w:tcW w:type="dxa" w:w="5100"/>
            <w:shd w:val="clear" w:color="auto" w:fill="FFF5F5"/>
          </w:tcPr>
          <w:p>
            <w:r>
              <w:rPr>
                <w:rFonts w:ascii="Arial" w:hAnsi="Arial"/>
                <w:b w:val="0"/>
                <w:i w:val="0"/>
                <w:color w:val="7C2C2C"/>
                <w:sz w:val="17"/>
              </w:rPr>
              <w:t>Tres peu liquide. Cyclicite fret forte. La normalisation post-COVID a compresse les marges de transit de luxe.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1.0x. Upside DCF +11.9%.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MLCFT  </w:t>
            </w:r>
            <w:r>
              <w:rPr>
                <w:rFonts w:ascii="Arial" w:hAnsi="Arial"/>
                <w:b w:val="0"/>
                <w:i w:val="0"/>
                <w:color w:val="AABBCC"/>
                <w:sz w:val="19"/>
              </w:rPr>
              <w:t>Clasquin Fret</w:t>
            </w:r>
          </w:p>
          <w:p>
            <w:r>
              <w:rPr>
                <w:rFonts w:ascii="Arial" w:hAnsi="Arial"/>
                <w:b w:val="0"/>
                <w:i w:val="0"/>
                <w:color w:val="AABBCC"/>
                <w:sz w:val="16"/>
              </w:rPr>
              <w:t>Commission fret aerien  ·  Score 70/100  ·  Zone 30.0–38.0€  ·  R/R 1.2x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35.0€  ·  Upside DCF : +20.0%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30.0€ – 38.0€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27.0€  (22.9%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45.0€  (+28.6%)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42.0€  (upside +20.0%)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17.0%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0.4x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9.0x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Deuxieme entree Clasquin pour le fret aerien specifiquement — marche different du maritime. Le fret aerien est premium et resilient. A 9x PE avec 5% dividende et ROE 17%. Famille fondatrice lyonnaise depuis 40 ans.</w:t>
            </w:r>
          </w:p>
        </w:tc>
        <w:tc>
          <w:tcPr>
            <w:tcW w:type="dxa" w:w="5100"/>
            <w:shd w:val="clear" w:color="auto" w:fill="FFF5F5"/>
          </w:tcPr>
          <w:p>
            <w:r>
              <w:rPr>
                <w:rFonts w:ascii="Arial" w:hAnsi="Arial"/>
                <w:b w:val="0"/>
                <w:i w:val="0"/>
                <w:color w:val="7C2C2C"/>
                <w:sz w:val="17"/>
              </w:rPr>
              <w:t>Tres peu liquide. Cyclicite fret. Normalisation post-COVID pese sur les marges.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1.2x. Upside DCF +20.0%. Appliquer le protocole du dimanche avant tout passage d'ordre. Taille max : 8% du PEA. Stop loss : 27.0€.</w:t>
            </w:r>
          </w:p>
        </w:tc>
      </w:tr>
    </w:tbl>
    <w:p>
      <w:pPr>
        <w:spacing w:after="40"/>
      </w:pPr>
    </w:p>
    <w:p/>
    <w:p>
      <w:pPr>
        <w:jc w:val="center"/>
      </w:pPr>
      <w:r>
        <w:rPr>
          <w:i/>
          <w:color w:val="999999"/>
          <w:sz w:val="16"/>
        </w:rPr>
        <w:t>VAL.PEA · Signaux du dimanche · 17 mai 2026 · Non-conseil en investissement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