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jc w:val="center"/>
      </w:pPr>
      <w:r>
        <w:rPr>
          <w:rFonts w:ascii="Arial" w:hAnsi="Arial"/>
          <w:b/>
          <w:i w:val="0"/>
          <w:color w:val="6B7B8D"/>
          <w:sz w:val="22"/>
        </w:rPr>
        <w:t>VAL.PEA — SIGNAUX DU DIMANCHE</w:t>
      </w:r>
    </w:p>
    <w:p>
      <w:pPr>
        <w:spacing w:before="440"/>
        <w:jc w:val="center"/>
      </w:pPr>
      <w:r>
        <w:rPr>
          <w:rFonts w:ascii="Georgia" w:hAnsi="Georgia"/>
          <w:b/>
          <w:i w:val="0"/>
          <w:color w:val="0F2540"/>
          <w:sz w:val="48"/>
        </w:rPr>
        <w:t>Dimanche 17 mai 2026</w:t>
      </w:r>
    </w:p>
    <w:p>
      <w:pPr>
        <w:spacing w:before="80"/>
        <w:jc w:val="center"/>
      </w:pPr>
      <w:r>
        <w:rPr>
          <w:rFonts w:ascii="Arial" w:hAnsi="Arial"/>
          <w:b/>
          <w:i w:val="0"/>
          <w:color w:val="1A3A5C"/>
          <w:sz w:val="22"/>
        </w:rPr>
        <w:t>36 opportunité(s) · Grade A · Zone · Score ≥ 70/100</w:t>
      </w:r>
    </w:p>
    <w:p>
      <w:pPr>
        <w:spacing w:before="80"/>
        <w:jc w:val="center"/>
      </w:pPr>
      <w:r>
        <w:rPr>
          <w:rFonts w:ascii="Arial" w:hAnsi="Arial"/>
          <w:b w:val="0"/>
          <w:i/>
          <w:color w:val="888888"/>
          <w:sz w:val="18"/>
        </w:rPr>
        <w:t>Protocole : vérifier les 5 étapes avant tout achat · Non-conseil</w:t>
      </w:r>
    </w:p>
    <w:p>
      <w:pPr>
        <w:spacing w:after="80"/>
      </w:pPr>
    </w:p>
    <w:p>
      <w:pPr>
        <w:spacing w:before="40" w:after="80"/>
      </w:pPr>
      <w:r>
        <w:rPr>
          <w:rFonts w:ascii="Arial" w:hAnsi="Arial"/>
          <w:b/>
          <w:i w:val="0"/>
          <w:color w:val="16A34A"/>
          <w:sz w:val="20"/>
        </w:rPr>
        <w:t>36 action(s) remplissent les 3 conditions : Grade A + en zone d'achat + score ≥ 70/100.</w:t>
      </w:r>
    </w:p>
    <w:tbl>
      <w:tblPr>
        <w:tblStyle w:val="TableGrid"/>
        <w:tblW w:type="auto" w:w="0"/>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020"/>
            <w:shd w:val="clear" w:color="auto" w:fill="0F2540"/>
          </w:tcPr>
          <w:p>
            <w:r>
              <w:rPr>
                <w:rFonts w:ascii="Arial" w:hAnsi="Arial"/>
                <w:b/>
                <w:i w:val="0"/>
                <w:color w:val="FFFFFF"/>
                <w:sz w:val="16"/>
              </w:rPr>
              <w:t>#</w:t>
            </w:r>
          </w:p>
        </w:tc>
        <w:tc>
          <w:tcPr>
            <w:tcW w:type="dxa" w:w="1020"/>
            <w:shd w:val="clear" w:color="auto" w:fill="0F2540"/>
          </w:tcPr>
          <w:p>
            <w:r>
              <w:rPr>
                <w:rFonts w:ascii="Arial" w:hAnsi="Arial"/>
                <w:b/>
                <w:i w:val="0"/>
                <w:color w:val="FFFFFF"/>
                <w:sz w:val="16"/>
              </w:rPr>
              <w:t>Ticker</w:t>
            </w:r>
          </w:p>
        </w:tc>
        <w:tc>
          <w:tcPr>
            <w:tcW w:type="dxa" w:w="1020"/>
            <w:shd w:val="clear" w:color="auto" w:fill="0F2540"/>
          </w:tcPr>
          <w:p>
            <w:r>
              <w:rPr>
                <w:rFonts w:ascii="Arial" w:hAnsi="Arial"/>
                <w:b/>
                <w:i w:val="0"/>
                <w:color w:val="FFFFFF"/>
                <w:sz w:val="16"/>
              </w:rPr>
              <w:t>Société</w:t>
            </w:r>
          </w:p>
        </w:tc>
        <w:tc>
          <w:tcPr>
            <w:tcW w:type="dxa" w:w="1020"/>
            <w:shd w:val="clear" w:color="auto" w:fill="0F2540"/>
          </w:tcPr>
          <w:p>
            <w:r>
              <w:rPr>
                <w:rFonts w:ascii="Arial" w:hAnsi="Arial"/>
                <w:b/>
                <w:i w:val="0"/>
                <w:color w:val="FFFFFF"/>
                <w:sz w:val="16"/>
              </w:rPr>
              <w:t>Score</w:t>
            </w:r>
          </w:p>
        </w:tc>
        <w:tc>
          <w:tcPr>
            <w:tcW w:type="dxa" w:w="1020"/>
            <w:shd w:val="clear" w:color="auto" w:fill="0F2540"/>
          </w:tcPr>
          <w:p>
            <w:r>
              <w:rPr>
                <w:rFonts w:ascii="Arial" w:hAnsi="Arial"/>
                <w:b/>
                <w:i w:val="0"/>
                <w:color w:val="FFFFFF"/>
                <w:sz w:val="16"/>
              </w:rPr>
              <w:t>Zone</w:t>
            </w:r>
          </w:p>
        </w:tc>
        <w:tc>
          <w:tcPr>
            <w:tcW w:type="dxa" w:w="1020"/>
            <w:shd w:val="clear" w:color="auto" w:fill="0F2540"/>
          </w:tcPr>
          <w:p>
            <w:r>
              <w:rPr>
                <w:rFonts w:ascii="Arial" w:hAnsi="Arial"/>
                <w:b/>
                <w:i w:val="0"/>
                <w:color w:val="FFFFFF"/>
                <w:sz w:val="16"/>
              </w:rPr>
              <w:t>R/R</w:t>
            </w:r>
          </w:p>
        </w:tc>
        <w:tc>
          <w:tcPr>
            <w:tcW w:type="dxa" w:w="1020"/>
            <w:shd w:val="clear" w:color="auto" w:fill="0F2540"/>
          </w:tcPr>
          <w:p>
            <w:r>
              <w:rPr>
                <w:rFonts w:ascii="Arial" w:hAnsi="Arial"/>
                <w:b/>
                <w:i w:val="0"/>
                <w:color w:val="FFFFFF"/>
                <w:sz w:val="16"/>
              </w:rPr>
              <w:t>Upside DCF</w:t>
            </w:r>
          </w:p>
        </w:tc>
        <w:tc>
          <w:tcPr>
            <w:tcW w:type="dxa" w:w="1020"/>
            <w:shd w:val="clear" w:color="auto" w:fill="0F2540"/>
          </w:tcPr>
          <w:p>
            <w:r>
              <w:rPr>
                <w:rFonts w:ascii="Arial" w:hAnsi="Arial"/>
                <w:b/>
                <w:i w:val="0"/>
                <w:color w:val="FFFFFF"/>
                <w:sz w:val="16"/>
              </w:rPr>
              <w:t>RSI</w:t>
            </w:r>
          </w:p>
        </w:tc>
        <w:tc>
          <w:tcPr>
            <w:tcW w:type="dxa" w:w="1020"/>
            <w:shd w:val="clear" w:color="auto" w:fill="0F2540"/>
          </w:tcPr>
          <w:p>
            <w:r>
              <w:rPr>
                <w:rFonts w:ascii="Arial" w:hAnsi="Arial"/>
                <w:b/>
                <w:i w:val="0"/>
                <w:color w:val="FFFFFF"/>
                <w:sz w:val="16"/>
              </w:rPr>
              <w:t>MM200</w:t>
            </w:r>
          </w:p>
        </w:tc>
        <w:tc>
          <w:tcPr>
            <w:tcW w:type="dxa" w:w="1020"/>
            <w:shd w:val="clear" w:color="auto" w:fill="0F2540"/>
          </w:tcPr>
          <w:p>
            <w:r>
              <w:rPr>
                <w:rFonts w:ascii="Arial" w:hAnsi="Arial"/>
                <w:b/>
                <w:i w:val="0"/>
                <w:color w:val="FFFFFF"/>
                <w:sz w:val="16"/>
              </w:rPr>
              <w:t>Pio.</w:t>
            </w:r>
          </w:p>
        </w:tc>
      </w:tr>
      <w:tr>
        <w:tc>
          <w:tcPr>
            <w:tcW w:type="dxa" w:w="1020"/>
            <w:shd w:val="clear" w:color="auto" w:fill="F0FDF4"/>
          </w:tcPr>
          <w:p>
            <w:r>
              <w:rPr>
                <w:rFonts w:ascii="Arial" w:hAnsi="Arial"/>
                <w:b/>
                <w:i w:val="0"/>
                <w:color w:val="16A34A"/>
                <w:sz w:val="17"/>
              </w:rPr>
              <w:t>1</w:t>
            </w:r>
          </w:p>
        </w:tc>
        <w:tc>
          <w:tcPr>
            <w:tcW w:type="dxa" w:w="1020"/>
            <w:shd w:val="clear" w:color="auto" w:fill="EFF6FF"/>
          </w:tcPr>
          <w:p>
            <w:r>
              <w:rPr>
                <w:rFonts w:ascii="Arial" w:hAnsi="Arial"/>
                <w:b/>
                <w:i w:val="0"/>
                <w:color w:val="0F2540"/>
                <w:sz w:val="17"/>
              </w:rPr>
              <w:t>ADYEN</w:t>
            </w:r>
          </w:p>
        </w:tc>
        <w:tc>
          <w:tcPr>
            <w:tcW w:type="dxa" w:w="1020"/>
            <w:shd w:val="clear" w:color="auto" w:fill="FAFAFA"/>
          </w:tcPr>
          <w:p>
            <w:r>
              <w:rPr>
                <w:rFonts w:ascii="Arial" w:hAnsi="Arial"/>
                <w:b w:val="0"/>
                <w:i w:val="0"/>
                <w:color w:val="333333"/>
                <w:sz w:val="17"/>
              </w:rPr>
              <w:t>Adyen</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1050.0–1250.0€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+51.5%</w:t>
            </w:r>
          </w:p>
        </w:tc>
        <w:tc>
          <w:tcPr>
            <w:tcW w:type="dxa" w:w="1020"/>
            <w:shd w:val="clear" w:color="auto" w:fill="DCFCE7"/>
          </w:tcPr>
          <w:p>
            <w:r>
              <w:rPr>
                <w:rFonts w:ascii="Arial" w:hAnsi="Arial"/>
                <w:b w:val="0"/>
                <w:i w:val="0"/>
                <w:color w:val="16A34A"/>
                <w:sz w:val="17"/>
              </w:rPr>
              <w:t>52</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w:t>
            </w:r>
          </w:p>
        </w:tc>
        <w:tc>
          <w:tcPr>
            <w:tcW w:type="dxa" w:w="1020"/>
            <w:shd w:val="clear" w:color="auto" w:fill="EFF6FF"/>
          </w:tcPr>
          <w:p>
            <w:r>
              <w:rPr>
                <w:rFonts w:ascii="Arial" w:hAnsi="Arial"/>
                <w:b/>
                <w:i w:val="0"/>
                <w:color w:val="0F2540"/>
                <w:sz w:val="17"/>
              </w:rPr>
              <w:t>NOVO</w:t>
            </w:r>
          </w:p>
        </w:tc>
        <w:tc>
          <w:tcPr>
            <w:tcW w:type="dxa" w:w="1020"/>
            <w:shd w:val="clear" w:color="auto" w:fill="FAFAFA"/>
          </w:tcPr>
          <w:p>
            <w:r>
              <w:rPr>
                <w:rFonts w:ascii="Arial" w:hAnsi="Arial"/>
                <w:b w:val="0"/>
                <w:i w:val="0"/>
                <w:color w:val="333333"/>
                <w:sz w:val="17"/>
              </w:rPr>
              <w:t>Novo Nordisk</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72.0–92.0€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+186.7%</w:t>
            </w:r>
          </w:p>
        </w:tc>
        <w:tc>
          <w:tcPr>
            <w:tcW w:type="dxa" w:w="1020"/>
            <w:shd w:val="clear" w:color="auto" w:fill="DCFCE7"/>
          </w:tcPr>
          <w:p>
            <w:r>
              <w:rPr>
                <w:rFonts w:ascii="Arial" w:hAnsi="Arial"/>
                <w:b w:val="0"/>
                <w:i w:val="0"/>
                <w:color w:val="16A34A"/>
                <w:sz w:val="17"/>
              </w:rPr>
              <w:t>38</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9/9</w:t>
            </w:r>
          </w:p>
        </w:tc>
      </w:tr>
      <w:tr>
        <w:tc>
          <w:tcPr>
            <w:tcW w:type="dxa" w:w="1020"/>
            <w:shd w:val="clear" w:color="auto" w:fill="F0FDF4"/>
          </w:tcPr>
          <w:p>
            <w:r>
              <w:rPr>
                <w:rFonts w:ascii="Arial" w:hAnsi="Arial"/>
                <w:b/>
                <w:i w:val="0"/>
                <w:color w:val="16A34A"/>
                <w:sz w:val="17"/>
              </w:rPr>
              <w:t>3</w:t>
            </w:r>
          </w:p>
        </w:tc>
        <w:tc>
          <w:tcPr>
            <w:tcW w:type="dxa" w:w="1020"/>
            <w:shd w:val="clear" w:color="auto" w:fill="EFF6FF"/>
          </w:tcPr>
          <w:p>
            <w:r>
              <w:rPr>
                <w:rFonts w:ascii="Arial" w:hAnsi="Arial"/>
                <w:b/>
                <w:i w:val="0"/>
                <w:color w:val="0F2540"/>
                <w:sz w:val="17"/>
              </w:rPr>
              <w:t>SAP</w:t>
            </w:r>
          </w:p>
        </w:tc>
        <w:tc>
          <w:tcPr>
            <w:tcW w:type="dxa" w:w="1020"/>
            <w:shd w:val="clear" w:color="auto" w:fill="FAFAFA"/>
          </w:tcPr>
          <w:p>
            <w:r>
              <w:rPr>
                <w:rFonts w:ascii="Arial" w:hAnsi="Arial"/>
                <w:b w:val="0"/>
                <w:i w:val="0"/>
                <w:color w:val="333333"/>
                <w:sz w:val="17"/>
              </w:rPr>
              <w:t>SAP</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210.0–248.0€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+79.1%</w:t>
            </w:r>
          </w:p>
        </w:tc>
        <w:tc>
          <w:tcPr>
            <w:tcW w:type="dxa" w:w="1020"/>
            <w:shd w:val="clear" w:color="auto" w:fill="DCFCE7"/>
          </w:tcPr>
          <w:p>
            <w:r>
              <w:rPr>
                <w:rFonts w:ascii="Arial" w:hAnsi="Arial"/>
                <w:b w:val="0"/>
                <w:i w:val="0"/>
                <w:color w:val="16A34A"/>
                <w:sz w:val="17"/>
              </w:rPr>
              <w:t>58</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4</w:t>
            </w:r>
          </w:p>
        </w:tc>
        <w:tc>
          <w:tcPr>
            <w:tcW w:type="dxa" w:w="1020"/>
            <w:shd w:val="clear" w:color="auto" w:fill="EFF6FF"/>
          </w:tcPr>
          <w:p>
            <w:r>
              <w:rPr>
                <w:rFonts w:ascii="Arial" w:hAnsi="Arial"/>
                <w:b/>
                <w:i w:val="0"/>
                <w:color w:val="0F2540"/>
                <w:sz w:val="17"/>
              </w:rPr>
              <w:t>INTERPARFUMS</w:t>
            </w:r>
          </w:p>
        </w:tc>
        <w:tc>
          <w:tcPr>
            <w:tcW w:type="dxa" w:w="1020"/>
            <w:shd w:val="clear" w:color="auto" w:fill="FAFAFA"/>
          </w:tcPr>
          <w:p>
            <w:r>
              <w:rPr>
                <w:rFonts w:ascii="Arial" w:hAnsi="Arial"/>
                <w:b w:val="0"/>
                <w:i w:val="0"/>
                <w:color w:val="333333"/>
                <w:sz w:val="17"/>
              </w:rPr>
              <w:t>Interparfums</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36.0–46.0€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+116.0%</w:t>
            </w:r>
          </w:p>
        </w:tc>
        <w:tc>
          <w:tcPr>
            <w:tcW w:type="dxa" w:w="1020"/>
            <w:shd w:val="clear" w:color="auto" w:fill="DCFCE7"/>
          </w:tcPr>
          <w:p>
            <w:r>
              <w:rPr>
                <w:rFonts w:ascii="Arial" w:hAnsi="Arial"/>
                <w:b w:val="0"/>
                <w:i w:val="0"/>
                <w:color w:val="16A34A"/>
                <w:sz w:val="17"/>
              </w:rPr>
              <w:t>52</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5</w:t>
            </w:r>
          </w:p>
        </w:tc>
        <w:tc>
          <w:tcPr>
            <w:tcW w:type="dxa" w:w="1020"/>
            <w:shd w:val="clear" w:color="auto" w:fill="EFF6FF"/>
          </w:tcPr>
          <w:p>
            <w:r>
              <w:rPr>
                <w:rFonts w:ascii="Arial" w:hAnsi="Arial"/>
                <w:b/>
                <w:i w:val="0"/>
                <w:color w:val="0F2540"/>
                <w:sz w:val="17"/>
              </w:rPr>
              <w:t>KZATM</w:t>
            </w:r>
          </w:p>
        </w:tc>
        <w:tc>
          <w:tcPr>
            <w:tcW w:type="dxa" w:w="1020"/>
            <w:shd w:val="clear" w:color="auto" w:fill="FAFAFA"/>
          </w:tcPr>
          <w:p>
            <w:r>
              <w:rPr>
                <w:rFonts w:ascii="Arial" w:hAnsi="Arial"/>
                <w:b w:val="0"/>
                <w:i w:val="0"/>
                <w:color w:val="333333"/>
                <w:sz w:val="17"/>
              </w:rPr>
              <w:t>Kazatomprom</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15.5–19.5€</w:t>
            </w:r>
          </w:p>
        </w:tc>
        <w:tc>
          <w:tcPr>
            <w:tcW w:type="dxa" w:w="1020"/>
            <w:shd w:val="clear" w:color="auto" w:fill="FFFBEB"/>
          </w:tcPr>
          <w:p>
            <w:r>
              <w:rPr>
                <w:rFonts w:ascii="Arial" w:hAnsi="Arial"/>
                <w:b/>
                <w:i w:val="0"/>
                <w:color w:val="D97706"/>
                <w:sz w:val="17"/>
              </w:rPr>
              <w:t>1.3x</w:t>
            </w:r>
          </w:p>
        </w:tc>
        <w:tc>
          <w:tcPr>
            <w:tcW w:type="dxa" w:w="1020"/>
            <w:shd w:val="clear" w:color="auto" w:fill="DCFCE7"/>
          </w:tcPr>
          <w:p>
            <w:r>
              <w:rPr>
                <w:rFonts w:ascii="Arial" w:hAnsi="Arial"/>
                <w:b w:val="0"/>
                <w:i w:val="0"/>
                <w:color w:val="16A34A"/>
                <w:sz w:val="17"/>
              </w:rPr>
              <w:t>+22.2%</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7/9</w:t>
            </w:r>
          </w:p>
        </w:tc>
      </w:tr>
      <w:tr>
        <w:tc>
          <w:tcPr>
            <w:tcW w:type="dxa" w:w="1020"/>
            <w:shd w:val="clear" w:color="auto" w:fill="F0FDF4"/>
          </w:tcPr>
          <w:p>
            <w:r>
              <w:rPr>
                <w:rFonts w:ascii="Arial" w:hAnsi="Arial"/>
                <w:b/>
                <w:i w:val="0"/>
                <w:color w:val="16A34A"/>
                <w:sz w:val="17"/>
              </w:rPr>
              <w:t>6</w:t>
            </w:r>
          </w:p>
        </w:tc>
        <w:tc>
          <w:tcPr>
            <w:tcW w:type="dxa" w:w="1020"/>
            <w:shd w:val="clear" w:color="auto" w:fill="EFF6FF"/>
          </w:tcPr>
          <w:p>
            <w:r>
              <w:rPr>
                <w:rFonts w:ascii="Arial" w:hAnsi="Arial"/>
                <w:b/>
                <w:i w:val="0"/>
                <w:color w:val="0F2540"/>
                <w:sz w:val="17"/>
              </w:rPr>
              <w:t>DIORCDI</w:t>
            </w:r>
          </w:p>
        </w:tc>
        <w:tc>
          <w:tcPr>
            <w:tcW w:type="dxa" w:w="1020"/>
            <w:shd w:val="clear" w:color="auto" w:fill="FAFAFA"/>
          </w:tcPr>
          <w:p>
            <w:r>
              <w:rPr>
                <w:rFonts w:ascii="Arial" w:hAnsi="Arial"/>
                <w:b w:val="0"/>
                <w:i w:val="0"/>
                <w:color w:val="333333"/>
                <w:sz w:val="17"/>
              </w:rPr>
              <w:t>Christian Dior</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595.0–680.0€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+73.1%</w:t>
            </w:r>
          </w:p>
        </w:tc>
        <w:tc>
          <w:tcPr>
            <w:tcW w:type="dxa" w:w="1020"/>
            <w:shd w:val="clear" w:color="auto" w:fill="DCFCE7"/>
          </w:tcPr>
          <w:p>
            <w:r>
              <w:rPr>
                <w:rFonts w:ascii="Arial" w:hAnsi="Arial"/>
                <w:b w:val="0"/>
                <w:i w:val="0"/>
                <w:color w:val="16A34A"/>
                <w:sz w:val="17"/>
              </w:rPr>
              <w:t>48</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7</w:t>
            </w:r>
          </w:p>
        </w:tc>
        <w:tc>
          <w:tcPr>
            <w:tcW w:type="dxa" w:w="1020"/>
            <w:shd w:val="clear" w:color="auto" w:fill="EFF6FF"/>
          </w:tcPr>
          <w:p>
            <w:r>
              <w:rPr>
                <w:rFonts w:ascii="Arial" w:hAnsi="Arial"/>
                <w:b/>
                <w:i w:val="0"/>
                <w:color w:val="0F2540"/>
                <w:sz w:val="17"/>
              </w:rPr>
              <w:t>MLJR</w:t>
            </w:r>
          </w:p>
        </w:tc>
        <w:tc>
          <w:tcPr>
            <w:tcW w:type="dxa" w:w="1020"/>
            <w:shd w:val="clear" w:color="auto" w:fill="FAFAFA"/>
          </w:tcPr>
          <w:p>
            <w:r>
              <w:rPr>
                <w:rFonts w:ascii="Arial" w:hAnsi="Arial"/>
                <w:b w:val="0"/>
                <w:i w:val="0"/>
                <w:color w:val="333333"/>
                <w:sz w:val="17"/>
              </w:rPr>
              <w:t>Jean Rousseau</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74.0–92.0€</w:t>
            </w:r>
          </w:p>
        </w:tc>
        <w:tc>
          <w:tcPr>
            <w:tcW w:type="dxa" w:w="1020"/>
            <w:shd w:val="clear" w:color="auto" w:fill="FFFBEB"/>
          </w:tcPr>
          <w:p>
            <w:r>
              <w:rPr>
                <w:rFonts w:ascii="Arial" w:hAnsi="Arial"/>
                <w:b/>
                <w:i w:val="0"/>
                <w:color w:val="D97706"/>
                <w:sz w:val="17"/>
              </w:rPr>
              <w:t>1.3x</w:t>
            </w:r>
          </w:p>
        </w:tc>
        <w:tc>
          <w:tcPr>
            <w:tcW w:type="dxa" w:w="1020"/>
            <w:shd w:val="clear" w:color="auto" w:fill="DCFCE7"/>
          </w:tcPr>
          <w:p>
            <w:r>
              <w:rPr>
                <w:rFonts w:ascii="Arial" w:hAnsi="Arial"/>
                <w:b w:val="0"/>
                <w:i w:val="0"/>
                <w:color w:val="16A34A"/>
                <w:sz w:val="17"/>
              </w:rPr>
              <w:t>+20.0%</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8</w:t>
            </w:r>
          </w:p>
        </w:tc>
        <w:tc>
          <w:tcPr>
            <w:tcW w:type="dxa" w:w="1020"/>
            <w:shd w:val="clear" w:color="auto" w:fill="EFF6FF"/>
          </w:tcPr>
          <w:p>
            <w:r>
              <w:rPr>
                <w:rFonts w:ascii="Arial" w:hAnsi="Arial"/>
                <w:b/>
                <w:i w:val="0"/>
                <w:color w:val="0F2540"/>
                <w:sz w:val="17"/>
              </w:rPr>
              <w:t>INTPRF</w:t>
            </w:r>
          </w:p>
        </w:tc>
        <w:tc>
          <w:tcPr>
            <w:tcW w:type="dxa" w:w="1020"/>
            <w:shd w:val="clear" w:color="auto" w:fill="FAFAFA"/>
          </w:tcPr>
          <w:p>
            <w:r>
              <w:rPr>
                <w:rFonts w:ascii="Arial" w:hAnsi="Arial"/>
                <w:b w:val="0"/>
                <w:i w:val="0"/>
                <w:color w:val="333333"/>
                <w:sz w:val="17"/>
              </w:rPr>
              <w:t>Interparfums</w:t>
            </w:r>
          </w:p>
        </w:tc>
        <w:tc>
          <w:tcPr>
            <w:tcW w:type="dxa" w:w="1020"/>
            <w:shd w:val="clear" w:color="auto" w:fill="DCFCE7"/>
          </w:tcPr>
          <w:p>
            <w:r>
              <w:rPr>
                <w:rFonts w:ascii="Arial" w:hAnsi="Arial"/>
                <w:b/>
                <w:i w:val="0"/>
                <w:color w:val="16A34A"/>
                <w:sz w:val="17"/>
              </w:rPr>
              <w:t>95/100</w:t>
            </w:r>
          </w:p>
        </w:tc>
        <w:tc>
          <w:tcPr>
            <w:tcW w:type="dxa" w:w="1020"/>
            <w:shd w:val="clear" w:color="auto" w:fill="DCFCE7"/>
          </w:tcPr>
          <w:p>
            <w:r>
              <w:rPr>
                <w:rFonts w:ascii="Arial" w:hAnsi="Arial"/>
                <w:b w:val="0"/>
                <w:i w:val="0"/>
                <w:color w:val="16A34A"/>
                <w:sz w:val="17"/>
              </w:rPr>
              <w:t>45.0–56.0€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+179.0%</w:t>
            </w:r>
          </w:p>
        </w:tc>
        <w:tc>
          <w:tcPr>
            <w:tcW w:type="dxa" w:w="1020"/>
            <w:shd w:val="clear" w:color="auto" w:fill="DCFCE7"/>
          </w:tcPr>
          <w:p>
            <w:r>
              <w:rPr>
                <w:rFonts w:ascii="Arial" w:hAnsi="Arial"/>
                <w:b w:val="0"/>
                <w:i w:val="0"/>
                <w:color w:val="16A34A"/>
                <w:sz w:val="17"/>
              </w:rPr>
              <w:t>52</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9</w:t>
            </w:r>
          </w:p>
        </w:tc>
        <w:tc>
          <w:tcPr>
            <w:tcW w:type="dxa" w:w="1020"/>
            <w:shd w:val="clear" w:color="auto" w:fill="EFF6FF"/>
          </w:tcPr>
          <w:p>
            <w:r>
              <w:rPr>
                <w:rFonts w:ascii="Arial" w:hAnsi="Arial"/>
                <w:b/>
                <w:i w:val="0"/>
                <w:color w:val="0F2540"/>
                <w:sz w:val="17"/>
              </w:rPr>
              <w:t>RMS</w:t>
            </w:r>
          </w:p>
        </w:tc>
        <w:tc>
          <w:tcPr>
            <w:tcW w:type="dxa" w:w="1020"/>
            <w:shd w:val="clear" w:color="auto" w:fill="FAFAFA"/>
          </w:tcPr>
          <w:p>
            <w:r>
              <w:rPr>
                <w:rFonts w:ascii="Arial" w:hAnsi="Arial"/>
                <w:b w:val="0"/>
                <w:i w:val="0"/>
                <w:color w:val="333333"/>
                <w:sz w:val="17"/>
              </w:rPr>
              <w:t>Hermès</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1520.0–1720.0€</w:t>
            </w:r>
          </w:p>
        </w:tc>
        <w:tc>
          <w:tcPr>
            <w:tcW w:type="dxa" w:w="1020"/>
            <w:shd w:val="clear" w:color="auto" w:fill="DCFCE7"/>
          </w:tcPr>
          <w:p>
            <w:r>
              <w:rPr>
                <w:rFonts w:ascii="Arial" w:hAnsi="Arial"/>
                <w:b/>
                <w:i w:val="0"/>
                <w:color w:val="16A34A"/>
                <w:sz w:val="17"/>
              </w:rPr>
              <w:t>1.9x</w:t>
            </w:r>
          </w:p>
        </w:tc>
        <w:tc>
          <w:tcPr>
            <w:tcW w:type="dxa" w:w="1020"/>
            <w:shd w:val="clear" w:color="auto" w:fill="DCFCE7"/>
          </w:tcPr>
          <w:p>
            <w:r>
              <w:rPr>
                <w:rFonts w:ascii="Arial" w:hAnsi="Arial"/>
                <w:b w:val="0"/>
                <w:i w:val="0"/>
                <w:color w:val="16A34A"/>
                <w:sz w:val="17"/>
              </w:rPr>
              <w:t>+26.9%</w:t>
            </w:r>
          </w:p>
        </w:tc>
        <w:tc>
          <w:tcPr>
            <w:tcW w:type="dxa" w:w="1020"/>
            <w:shd w:val="clear" w:color="auto" w:fill="DCFCE7"/>
          </w:tcPr>
          <w:p>
            <w:r>
              <w:rPr>
                <w:rFonts w:ascii="Arial" w:hAnsi="Arial"/>
                <w:b w:val="0"/>
                <w:i w:val="0"/>
                <w:color w:val="16A34A"/>
                <w:sz w:val="17"/>
              </w:rPr>
              <w:t>48</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9/9</w:t>
            </w:r>
          </w:p>
        </w:tc>
      </w:tr>
      <w:tr>
        <w:tc>
          <w:tcPr>
            <w:tcW w:type="dxa" w:w="1020"/>
            <w:shd w:val="clear" w:color="auto" w:fill="F0FDF4"/>
          </w:tcPr>
          <w:p>
            <w:r>
              <w:rPr>
                <w:rFonts w:ascii="Arial" w:hAnsi="Arial"/>
                <w:b/>
                <w:i w:val="0"/>
                <w:color w:val="16A34A"/>
                <w:sz w:val="17"/>
              </w:rPr>
              <w:t>10</w:t>
            </w:r>
          </w:p>
        </w:tc>
        <w:tc>
          <w:tcPr>
            <w:tcW w:type="dxa" w:w="1020"/>
            <w:shd w:val="clear" w:color="auto" w:fill="EFF6FF"/>
          </w:tcPr>
          <w:p>
            <w:r>
              <w:rPr>
                <w:rFonts w:ascii="Arial" w:hAnsi="Arial"/>
                <w:b/>
                <w:i w:val="0"/>
                <w:color w:val="0F2540"/>
                <w:sz w:val="17"/>
              </w:rPr>
              <w:t>SU</w:t>
            </w:r>
          </w:p>
        </w:tc>
        <w:tc>
          <w:tcPr>
            <w:tcW w:type="dxa" w:w="1020"/>
            <w:shd w:val="clear" w:color="auto" w:fill="FAFAFA"/>
          </w:tcPr>
          <w:p>
            <w:r>
              <w:rPr>
                <w:rFonts w:ascii="Arial" w:hAnsi="Arial"/>
                <w:b w:val="0"/>
                <w:i w:val="0"/>
                <w:color w:val="333333"/>
                <w:sz w:val="17"/>
              </w:rPr>
              <w:t>Schneider Elec</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235.0–278.0€</w:t>
            </w:r>
          </w:p>
        </w:tc>
        <w:tc>
          <w:tcPr>
            <w:tcW w:type="dxa" w:w="1020"/>
            <w:shd w:val="clear" w:color="auto" w:fill="FFFBEB"/>
          </w:tcPr>
          <w:p>
            <w:r>
              <w:rPr>
                <w:rFonts w:ascii="Arial" w:hAnsi="Arial"/>
                <w:b/>
                <w:i w:val="0"/>
                <w:color w:val="D97706"/>
                <w:sz w:val="17"/>
              </w:rPr>
              <w:t>0.8x</w:t>
            </w:r>
          </w:p>
        </w:tc>
        <w:tc>
          <w:tcPr>
            <w:tcW w:type="dxa" w:w="1020"/>
            <w:shd w:val="clear" w:color="auto" w:fill="DCFCE7"/>
          </w:tcPr>
          <w:p>
            <w:r>
              <w:rPr>
                <w:rFonts w:ascii="Arial" w:hAnsi="Arial"/>
                <w:b w:val="0"/>
                <w:i w:val="0"/>
                <w:color w:val="16A34A"/>
                <w:sz w:val="17"/>
              </w:rPr>
              <w:t>+19.4%</w:t>
            </w:r>
          </w:p>
        </w:tc>
        <w:tc>
          <w:tcPr>
            <w:tcW w:type="dxa" w:w="1020"/>
            <w:shd w:val="clear" w:color="auto" w:fill="DCFCE7"/>
          </w:tcPr>
          <w:p>
            <w:r>
              <w:rPr>
                <w:rFonts w:ascii="Arial" w:hAnsi="Arial"/>
                <w:b w:val="0"/>
                <w:i w:val="0"/>
                <w:color w:val="16A34A"/>
                <w:sz w:val="17"/>
              </w:rPr>
              <w:t>58</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11</w:t>
            </w:r>
          </w:p>
        </w:tc>
        <w:tc>
          <w:tcPr>
            <w:tcW w:type="dxa" w:w="1020"/>
            <w:shd w:val="clear" w:color="auto" w:fill="EFF6FF"/>
          </w:tcPr>
          <w:p>
            <w:r>
              <w:rPr>
                <w:rFonts w:ascii="Arial" w:hAnsi="Arial"/>
                <w:b/>
                <w:i w:val="0"/>
                <w:color w:val="0F2540"/>
                <w:sz w:val="17"/>
              </w:rPr>
              <w:t>LR</w:t>
            </w:r>
          </w:p>
        </w:tc>
        <w:tc>
          <w:tcPr>
            <w:tcW w:type="dxa" w:w="1020"/>
            <w:shd w:val="clear" w:color="auto" w:fill="FAFAFA"/>
          </w:tcPr>
          <w:p>
            <w:r>
              <w:rPr>
                <w:rFonts w:ascii="Arial" w:hAnsi="Arial"/>
                <w:b w:val="0"/>
                <w:i w:val="0"/>
                <w:color w:val="333333"/>
                <w:sz w:val="17"/>
              </w:rPr>
              <w:t>Legrand</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132.0–158.0€</w:t>
            </w:r>
          </w:p>
        </w:tc>
        <w:tc>
          <w:tcPr>
            <w:tcW w:type="dxa" w:w="1020"/>
            <w:shd w:val="clear" w:color="auto" w:fill="FFFBEB"/>
          </w:tcPr>
          <w:p>
            <w:r>
              <w:rPr>
                <w:rFonts w:ascii="Arial" w:hAnsi="Arial"/>
                <w:b/>
                <w:i w:val="0"/>
                <w:color w:val="D97706"/>
                <w:sz w:val="17"/>
              </w:rPr>
              <w:t>0.6x</w:t>
            </w:r>
          </w:p>
        </w:tc>
        <w:tc>
          <w:tcPr>
            <w:tcW w:type="dxa" w:w="1020"/>
            <w:shd w:val="clear" w:color="auto" w:fill="DCFCE7"/>
          </w:tcPr>
          <w:p>
            <w:r>
              <w:rPr>
                <w:rFonts w:ascii="Arial" w:hAnsi="Arial"/>
                <w:b w:val="0"/>
                <w:i w:val="0"/>
                <w:color w:val="16A34A"/>
                <w:sz w:val="17"/>
              </w:rPr>
              <w:t>+13.1%</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12</w:t>
            </w:r>
          </w:p>
        </w:tc>
        <w:tc>
          <w:tcPr>
            <w:tcW w:type="dxa" w:w="1020"/>
            <w:shd w:val="clear" w:color="auto" w:fill="EFF6FF"/>
          </w:tcPr>
          <w:p>
            <w:r>
              <w:rPr>
                <w:rFonts w:ascii="Arial" w:hAnsi="Arial"/>
                <w:b/>
                <w:i w:val="0"/>
                <w:color w:val="0F2540"/>
                <w:sz w:val="17"/>
              </w:rPr>
              <w:t>ABCA</w:t>
            </w:r>
          </w:p>
        </w:tc>
        <w:tc>
          <w:tcPr>
            <w:tcW w:type="dxa" w:w="1020"/>
            <w:shd w:val="clear" w:color="auto" w:fill="FAFAFA"/>
          </w:tcPr>
          <w:p>
            <w:r>
              <w:rPr>
                <w:rFonts w:ascii="Arial" w:hAnsi="Arial"/>
                <w:b w:val="0"/>
                <w:i w:val="0"/>
                <w:color w:val="333333"/>
                <w:sz w:val="17"/>
              </w:rPr>
              <w:t>ABC Arbitrage</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6.0–7.2€</w:t>
            </w:r>
          </w:p>
        </w:tc>
        <w:tc>
          <w:tcPr>
            <w:tcW w:type="dxa" w:w="1020"/>
            <w:shd w:val="clear" w:color="auto" w:fill="FFFBEB"/>
          </w:tcPr>
          <w:p>
            <w:r>
              <w:rPr>
                <w:rFonts w:ascii="Arial" w:hAnsi="Arial"/>
                <w:b/>
                <w:i w:val="0"/>
                <w:color w:val="D97706"/>
                <w:sz w:val="17"/>
              </w:rPr>
              <w:t>1.1x</w:t>
            </w:r>
          </w:p>
        </w:tc>
        <w:tc>
          <w:tcPr>
            <w:tcW w:type="dxa" w:w="1020"/>
            <w:shd w:val="clear" w:color="auto" w:fill="DCFCE7"/>
          </w:tcPr>
          <w:p>
            <w:r>
              <w:rPr>
                <w:rFonts w:ascii="Arial" w:hAnsi="Arial"/>
                <w:b w:val="0"/>
                <w:i w:val="0"/>
                <w:color w:val="16A34A"/>
                <w:sz w:val="17"/>
              </w:rPr>
              <w:t>+10.3%</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13</w:t>
            </w:r>
          </w:p>
        </w:tc>
        <w:tc>
          <w:tcPr>
            <w:tcW w:type="dxa" w:w="1020"/>
            <w:shd w:val="clear" w:color="auto" w:fill="EFF6FF"/>
          </w:tcPr>
          <w:p>
            <w:r>
              <w:rPr>
                <w:rFonts w:ascii="Arial" w:hAnsi="Arial"/>
                <w:b/>
                <w:i w:val="0"/>
                <w:color w:val="0F2540"/>
                <w:sz w:val="17"/>
              </w:rPr>
              <w:t>HO</w:t>
            </w:r>
          </w:p>
        </w:tc>
        <w:tc>
          <w:tcPr>
            <w:tcW w:type="dxa" w:w="1020"/>
            <w:shd w:val="clear" w:color="auto" w:fill="FAFAFA"/>
          </w:tcPr>
          <w:p>
            <w:r>
              <w:rPr>
                <w:rFonts w:ascii="Arial" w:hAnsi="Arial"/>
                <w:b w:val="0"/>
                <w:i w:val="0"/>
                <w:color w:val="333333"/>
                <w:sz w:val="17"/>
              </w:rPr>
              <w:t>Thales</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228.0–268.0€</w:t>
            </w:r>
          </w:p>
        </w:tc>
        <w:tc>
          <w:tcPr>
            <w:tcW w:type="dxa" w:w="1020"/>
            <w:shd w:val="clear" w:color="auto" w:fill="DCFCE7"/>
          </w:tcPr>
          <w:p>
            <w:r>
              <w:rPr>
                <w:rFonts w:ascii="Arial" w:hAnsi="Arial"/>
                <w:b/>
                <w:i w:val="0"/>
                <w:color w:val="16A34A"/>
                <w:sz w:val="17"/>
              </w:rPr>
              <w:t>5.2x</w:t>
            </w:r>
          </w:p>
        </w:tc>
        <w:tc>
          <w:tcPr>
            <w:tcW w:type="dxa" w:w="1020"/>
            <w:shd w:val="clear" w:color="auto" w:fill="DCFCE7"/>
          </w:tcPr>
          <w:p>
            <w:r>
              <w:rPr>
                <w:rFonts w:ascii="Arial" w:hAnsi="Arial"/>
                <w:b w:val="0"/>
                <w:i w:val="0"/>
                <w:color w:val="16A34A"/>
                <w:sz w:val="17"/>
              </w:rPr>
              <w:t>+39.0%</w:t>
            </w:r>
          </w:p>
        </w:tc>
        <w:tc>
          <w:tcPr>
            <w:tcW w:type="dxa" w:w="1020"/>
            <w:shd w:val="clear" w:color="auto" w:fill="DCFCE7"/>
          </w:tcPr>
          <w:p>
            <w:r>
              <w:rPr>
                <w:rFonts w:ascii="Arial" w:hAnsi="Arial"/>
                <w:b w:val="0"/>
                <w:i w:val="0"/>
                <w:color w:val="16A34A"/>
                <w:sz w:val="17"/>
              </w:rPr>
              <w:t>58</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14</w:t>
            </w:r>
          </w:p>
        </w:tc>
        <w:tc>
          <w:tcPr>
            <w:tcW w:type="dxa" w:w="1020"/>
            <w:shd w:val="clear" w:color="auto" w:fill="EFF6FF"/>
          </w:tcPr>
          <w:p>
            <w:r>
              <w:rPr>
                <w:rFonts w:ascii="Arial" w:hAnsi="Arial"/>
                <w:b/>
                <w:i w:val="0"/>
                <w:color w:val="0F2540"/>
                <w:sz w:val="17"/>
              </w:rPr>
              <w:t>ALFPC</w:t>
            </w:r>
          </w:p>
        </w:tc>
        <w:tc>
          <w:tcPr>
            <w:tcW w:type="dxa" w:w="1020"/>
            <w:shd w:val="clear" w:color="auto" w:fill="FAFAFA"/>
          </w:tcPr>
          <w:p>
            <w:r>
              <w:rPr>
                <w:rFonts w:ascii="Arial" w:hAnsi="Arial"/>
                <w:b w:val="0"/>
                <w:i w:val="0"/>
                <w:color w:val="333333"/>
                <w:sz w:val="17"/>
              </w:rPr>
              <w:t>Fountaine Pajo</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82.0–96.0€</w:t>
            </w:r>
          </w:p>
        </w:tc>
        <w:tc>
          <w:tcPr>
            <w:tcW w:type="dxa" w:w="1020"/>
            <w:shd w:val="clear" w:color="auto" w:fill="FFFBEB"/>
          </w:tcPr>
          <w:p>
            <w:r>
              <w:rPr>
                <w:rFonts w:ascii="Arial" w:hAnsi="Arial"/>
                <w:b/>
                <w:i w:val="0"/>
                <w:color w:val="D97706"/>
                <w:sz w:val="17"/>
              </w:rPr>
              <w:t>1.3x</w:t>
            </w:r>
          </w:p>
        </w:tc>
        <w:tc>
          <w:tcPr>
            <w:tcW w:type="dxa" w:w="1020"/>
            <w:shd w:val="clear" w:color="auto" w:fill="DCFCE7"/>
          </w:tcPr>
          <w:p>
            <w:r>
              <w:rPr>
                <w:rFonts w:ascii="Arial" w:hAnsi="Arial"/>
                <w:b w:val="0"/>
                <w:i w:val="0"/>
                <w:color w:val="16A34A"/>
                <w:sz w:val="17"/>
              </w:rPr>
              <w:t>+74.4%</w:t>
            </w:r>
          </w:p>
        </w:tc>
        <w:tc>
          <w:tcPr>
            <w:tcW w:type="dxa" w:w="1020"/>
            <w:shd w:val="clear" w:color="auto" w:fill="DCFCE7"/>
          </w:tcPr>
          <w:p>
            <w:r>
              <w:rPr>
                <w:rFonts w:ascii="Arial" w:hAnsi="Arial"/>
                <w:b w:val="0"/>
                <w:i w:val="0"/>
                <w:color w:val="16A34A"/>
                <w:sz w:val="17"/>
              </w:rPr>
              <w:t>52</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15</w:t>
            </w:r>
          </w:p>
        </w:tc>
        <w:tc>
          <w:tcPr>
            <w:tcW w:type="dxa" w:w="1020"/>
            <w:shd w:val="clear" w:color="auto" w:fill="EFF6FF"/>
          </w:tcPr>
          <w:p>
            <w:r>
              <w:rPr>
                <w:rFonts w:ascii="Arial" w:hAnsi="Arial"/>
                <w:b/>
                <w:i w:val="0"/>
                <w:color w:val="0F2540"/>
                <w:sz w:val="17"/>
              </w:rPr>
              <w:t>LACBX</w:t>
            </w:r>
          </w:p>
        </w:tc>
        <w:tc>
          <w:tcPr>
            <w:tcW w:type="dxa" w:w="1020"/>
            <w:shd w:val="clear" w:color="auto" w:fill="FAFAFA"/>
          </w:tcPr>
          <w:p>
            <w:r>
              <w:rPr>
                <w:rFonts w:ascii="Arial" w:hAnsi="Arial"/>
                <w:b w:val="0"/>
                <w:i w:val="0"/>
                <w:color w:val="333333"/>
                <w:sz w:val="17"/>
              </w:rPr>
              <w:t>Lacroix Defens</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74.0–92.0€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+483.3%</w:t>
            </w:r>
          </w:p>
        </w:tc>
        <w:tc>
          <w:tcPr>
            <w:tcW w:type="dxa" w:w="1020"/>
            <w:shd w:val="clear" w:color="auto" w:fill="DCFCE7"/>
          </w:tcPr>
          <w:p>
            <w:r>
              <w:rPr>
                <w:rFonts w:ascii="Arial" w:hAnsi="Arial"/>
                <w:b w:val="0"/>
                <w:i w:val="0"/>
                <w:color w:val="16A34A"/>
                <w:sz w:val="17"/>
              </w:rPr>
              <w:t>52</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16</w:t>
            </w:r>
          </w:p>
        </w:tc>
        <w:tc>
          <w:tcPr>
            <w:tcW w:type="dxa" w:w="1020"/>
            <w:shd w:val="clear" w:color="auto" w:fill="EFF6FF"/>
          </w:tcPr>
          <w:p>
            <w:r>
              <w:rPr>
                <w:rFonts w:ascii="Arial" w:hAnsi="Arial"/>
                <w:b/>
                <w:i w:val="0"/>
                <w:color w:val="0F2540"/>
                <w:sz w:val="17"/>
              </w:rPr>
              <w:t>ESCAP</w:t>
            </w:r>
          </w:p>
        </w:tc>
        <w:tc>
          <w:tcPr>
            <w:tcW w:type="dxa" w:w="1020"/>
            <w:shd w:val="clear" w:color="auto" w:fill="FAFAFA"/>
          </w:tcPr>
          <w:p>
            <w:r>
              <w:rPr>
                <w:rFonts w:ascii="Arial" w:hAnsi="Arial"/>
                <w:b w:val="0"/>
                <w:i w:val="0"/>
                <w:color w:val="333333"/>
                <w:sz w:val="17"/>
              </w:rPr>
              <w:t>Esker SA</w:t>
            </w:r>
          </w:p>
        </w:tc>
        <w:tc>
          <w:tcPr>
            <w:tcW w:type="dxa" w:w="1020"/>
            <w:shd w:val="clear" w:color="auto" w:fill="DCFCE7"/>
          </w:tcPr>
          <w:p>
            <w:r>
              <w:rPr>
                <w:rFonts w:ascii="Arial" w:hAnsi="Arial"/>
                <w:b/>
                <w:i w:val="0"/>
                <w:color w:val="16A34A"/>
                <w:sz w:val="17"/>
              </w:rPr>
              <w:t>90/100</w:t>
            </w:r>
          </w:p>
        </w:tc>
        <w:tc>
          <w:tcPr>
            <w:tcW w:type="dxa" w:w="1020"/>
            <w:shd w:val="clear" w:color="auto" w:fill="DCFCE7"/>
          </w:tcPr>
          <w:p>
            <w:r>
              <w:rPr>
                <w:rFonts w:ascii="Arial" w:hAnsi="Arial"/>
                <w:b w:val="0"/>
                <w:i w:val="0"/>
                <w:color w:val="16A34A"/>
                <w:sz w:val="17"/>
              </w:rPr>
              <w:t>165.0–200.0€</w:t>
            </w:r>
          </w:p>
        </w:tc>
        <w:tc>
          <w:tcPr>
            <w:tcW w:type="dxa" w:w="1020"/>
            <w:shd w:val="clear" w:color="auto" w:fill="FFFBEB"/>
          </w:tcPr>
          <w:p>
            <w:r>
              <w:rPr>
                <w:rFonts w:ascii="Arial" w:hAnsi="Arial"/>
                <w:b/>
                <w:i w:val="0"/>
                <w:color w:val="D97706"/>
                <w:sz w:val="17"/>
              </w:rPr>
              <w:t>1.2x</w:t>
            </w:r>
          </w:p>
        </w:tc>
        <w:tc>
          <w:tcPr>
            <w:tcW w:type="dxa" w:w="1020"/>
            <w:shd w:val="clear" w:color="auto" w:fill="DCFCE7"/>
          </w:tcPr>
          <w:p>
            <w:r>
              <w:rPr>
                <w:rFonts w:ascii="Arial" w:hAnsi="Arial"/>
                <w:b w:val="0"/>
                <w:i w:val="0"/>
                <w:color w:val="16A34A"/>
                <w:sz w:val="17"/>
              </w:rPr>
              <w:t>+12.4%</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17</w:t>
            </w:r>
          </w:p>
        </w:tc>
        <w:tc>
          <w:tcPr>
            <w:tcW w:type="dxa" w:w="1020"/>
            <w:shd w:val="clear" w:color="auto" w:fill="EFF6FF"/>
          </w:tcPr>
          <w:p>
            <w:r>
              <w:rPr>
                <w:rFonts w:ascii="Arial" w:hAnsi="Arial"/>
                <w:b/>
                <w:i w:val="0"/>
                <w:color w:val="0F2540"/>
                <w:sz w:val="17"/>
              </w:rPr>
              <w:t>OR</w:t>
            </w:r>
          </w:p>
        </w:tc>
        <w:tc>
          <w:tcPr>
            <w:tcW w:type="dxa" w:w="1020"/>
            <w:shd w:val="clear" w:color="auto" w:fill="FAFAFA"/>
          </w:tcPr>
          <w:p>
            <w:r>
              <w:rPr>
                <w:rFonts w:ascii="Arial" w:hAnsi="Arial"/>
                <w:b w:val="0"/>
                <w:i w:val="0"/>
                <w:color w:val="333333"/>
                <w:sz w:val="17"/>
              </w:rPr>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315.0–375.0€</w:t>
            </w:r>
          </w:p>
        </w:tc>
        <w:tc>
          <w:tcPr>
            <w:tcW w:type="dxa" w:w="1020"/>
            <w:shd w:val="clear" w:color="auto" w:fill="FFFBEB"/>
          </w:tcPr>
          <w:p>
            <w:r>
              <w:rPr>
                <w:rFonts w:ascii="Arial" w:hAnsi="Arial"/>
                <w:b/>
                <w:i w:val="0"/>
                <w:color w:val="D97706"/>
                <w:sz w:val="17"/>
              </w:rPr>
              <w:t>0.7x</w:t>
            </w:r>
          </w:p>
        </w:tc>
        <w:tc>
          <w:tcPr>
            <w:tcW w:type="dxa" w:w="1020"/>
            <w:shd w:val="clear" w:color="auto" w:fill="DCFCE7"/>
          </w:tcPr>
          <w:p>
            <w:r>
              <w:rPr>
                <w:rFonts w:ascii="Arial" w:hAnsi="Arial"/>
                <w:b w:val="0"/>
                <w:i w:val="0"/>
                <w:color w:val="16A34A"/>
                <w:sz w:val="17"/>
              </w:rPr>
              <w:t>+12.0%</w:t>
            </w:r>
          </w:p>
        </w:tc>
        <w:tc>
          <w:tcPr>
            <w:tcW w:type="dxa" w:w="1020"/>
            <w:shd w:val="clear" w:color="auto" w:fill="DCFCE7"/>
          </w:tcPr>
          <w:p>
            <w:r>
              <w:rPr>
                <w:rFonts w:ascii="Arial" w:hAnsi="Arial"/>
                <w:b w:val="0"/>
                <w:i w:val="0"/>
                <w:color w:val="16A34A"/>
                <w:sz w:val="17"/>
              </w:rPr>
              <w:t>42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9/9</w:t>
            </w:r>
          </w:p>
        </w:tc>
      </w:tr>
      <w:tr>
        <w:tc>
          <w:tcPr>
            <w:tcW w:type="dxa" w:w="1020"/>
            <w:shd w:val="clear" w:color="auto" w:fill="F0FDF4"/>
          </w:tcPr>
          <w:p>
            <w:r>
              <w:rPr>
                <w:rFonts w:ascii="Arial" w:hAnsi="Arial"/>
                <w:b/>
                <w:i w:val="0"/>
                <w:color w:val="16A34A"/>
                <w:sz w:val="17"/>
              </w:rPr>
              <w:t>18</w:t>
            </w:r>
          </w:p>
        </w:tc>
        <w:tc>
          <w:tcPr>
            <w:tcW w:type="dxa" w:w="1020"/>
            <w:shd w:val="clear" w:color="auto" w:fill="EFF6FF"/>
          </w:tcPr>
          <w:p>
            <w:r>
              <w:rPr>
                <w:rFonts w:ascii="Arial" w:hAnsi="Arial"/>
                <w:b/>
                <w:i w:val="0"/>
                <w:color w:val="0F2540"/>
                <w:sz w:val="17"/>
              </w:rPr>
              <w:t>MLNMG</w:t>
            </w:r>
          </w:p>
        </w:tc>
        <w:tc>
          <w:tcPr>
            <w:tcW w:type="dxa" w:w="1020"/>
            <w:shd w:val="clear" w:color="auto" w:fill="FAFAFA"/>
          </w:tcPr>
          <w:p>
            <w:r>
              <w:rPr>
                <w:rFonts w:ascii="Arial" w:hAnsi="Arial"/>
                <w:b w:val="0"/>
                <w:i w:val="0"/>
                <w:color w:val="333333"/>
                <w:sz w:val="17"/>
              </w:rPr>
              <w:t>NMG Group</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76.0–92.0€</w:t>
            </w:r>
          </w:p>
        </w:tc>
        <w:tc>
          <w:tcPr>
            <w:tcW w:type="dxa" w:w="1020"/>
            <w:shd w:val="clear" w:color="auto" w:fill="FFFBEB"/>
          </w:tcPr>
          <w:p>
            <w:r>
              <w:rPr>
                <w:rFonts w:ascii="Arial" w:hAnsi="Arial"/>
                <w:b/>
                <w:i w:val="0"/>
                <w:color w:val="D97706"/>
                <w:sz w:val="17"/>
              </w:rPr>
              <w:t>1.2x</w:t>
            </w:r>
          </w:p>
        </w:tc>
        <w:tc>
          <w:tcPr>
            <w:tcW w:type="dxa" w:w="1020"/>
            <w:shd w:val="clear" w:color="auto" w:fill="DCFCE7"/>
          </w:tcPr>
          <w:p>
            <w:r>
              <w:rPr>
                <w:rFonts w:ascii="Arial" w:hAnsi="Arial"/>
                <w:b w:val="0"/>
                <w:i w:val="0"/>
                <w:color w:val="16A34A"/>
                <w:sz w:val="17"/>
              </w:rPr>
              <w:t>+11.8%</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19</w:t>
            </w:r>
          </w:p>
        </w:tc>
        <w:tc>
          <w:tcPr>
            <w:tcW w:type="dxa" w:w="1020"/>
            <w:shd w:val="clear" w:color="auto" w:fill="EFF6FF"/>
          </w:tcPr>
          <w:p>
            <w:r>
              <w:rPr>
                <w:rFonts w:ascii="Arial" w:hAnsi="Arial"/>
                <w:b/>
                <w:i w:val="0"/>
                <w:color w:val="0F2540"/>
                <w:sz w:val="17"/>
              </w:rPr>
              <w:t>LVMHF</w:t>
            </w:r>
          </w:p>
        </w:tc>
        <w:tc>
          <w:tcPr>
            <w:tcW w:type="dxa" w:w="1020"/>
            <w:shd w:val="clear" w:color="auto" w:fill="FAFAFA"/>
          </w:tcPr>
          <w:p>
            <w:r>
              <w:rPr>
                <w:rFonts w:ascii="Arial" w:hAnsi="Arial"/>
                <w:b w:val="0"/>
                <w:i w:val="0"/>
                <w:color w:val="333333"/>
                <w:sz w:val="17"/>
              </w:rPr>
              <w:t>Ferrari SpA</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325.0–375.0€</w:t>
            </w:r>
          </w:p>
        </w:tc>
        <w:tc>
          <w:tcPr>
            <w:tcW w:type="dxa" w:w="1020"/>
            <w:shd w:val="clear" w:color="auto" w:fill="FFFBEB"/>
          </w:tcPr>
          <w:p>
            <w:r>
              <w:rPr>
                <w:rFonts w:ascii="Arial" w:hAnsi="Arial"/>
                <w:b/>
                <w:i w:val="0"/>
                <w:color w:val="D97706"/>
                <w:sz w:val="17"/>
              </w:rPr>
              <w:t>1.1x</w:t>
            </w:r>
          </w:p>
        </w:tc>
        <w:tc>
          <w:tcPr>
            <w:tcW w:type="dxa" w:w="1020"/>
            <w:shd w:val="clear" w:color="auto" w:fill="DCFCE7"/>
          </w:tcPr>
          <w:p>
            <w:r>
              <w:rPr>
                <w:rFonts w:ascii="Arial" w:hAnsi="Arial"/>
                <w:b w:val="0"/>
                <w:i w:val="0"/>
                <w:color w:val="16A34A"/>
                <w:sz w:val="17"/>
              </w:rPr>
              <w:t>+11.3%</w:t>
            </w:r>
          </w:p>
        </w:tc>
        <w:tc>
          <w:tcPr>
            <w:tcW w:type="dxa" w:w="1020"/>
            <w:shd w:val="clear" w:color="auto" w:fill="DCFCE7"/>
          </w:tcPr>
          <w:p>
            <w:r>
              <w:rPr>
                <w:rFonts w:ascii="Arial" w:hAnsi="Arial"/>
                <w:b w:val="0"/>
                <w:i w:val="0"/>
                <w:color w:val="16A34A"/>
                <w:sz w:val="17"/>
              </w:rPr>
              <w:t>50</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9/9</w:t>
            </w:r>
          </w:p>
        </w:tc>
      </w:tr>
      <w:tr>
        <w:tc>
          <w:tcPr>
            <w:tcW w:type="dxa" w:w="1020"/>
            <w:shd w:val="clear" w:color="auto" w:fill="F0FDF4"/>
          </w:tcPr>
          <w:p>
            <w:r>
              <w:rPr>
                <w:rFonts w:ascii="Arial" w:hAnsi="Arial"/>
                <w:b/>
                <w:i w:val="0"/>
                <w:color w:val="16A34A"/>
                <w:sz w:val="17"/>
              </w:rPr>
              <w:t>20</w:t>
            </w:r>
          </w:p>
        </w:tc>
        <w:tc>
          <w:tcPr>
            <w:tcW w:type="dxa" w:w="1020"/>
            <w:shd w:val="clear" w:color="auto" w:fill="EFF6FF"/>
          </w:tcPr>
          <w:p>
            <w:r>
              <w:rPr>
                <w:rFonts w:ascii="Arial" w:hAnsi="Arial"/>
                <w:b/>
                <w:i w:val="0"/>
                <w:color w:val="0F2540"/>
                <w:sz w:val="17"/>
              </w:rPr>
              <w:t>ENVEA</w:t>
            </w:r>
          </w:p>
        </w:tc>
        <w:tc>
          <w:tcPr>
            <w:tcW w:type="dxa" w:w="1020"/>
            <w:shd w:val="clear" w:color="auto" w:fill="FAFAFA"/>
          </w:tcPr>
          <w:p>
            <w:r>
              <w:rPr>
                <w:rFonts w:ascii="Arial" w:hAnsi="Arial"/>
                <w:b w:val="0"/>
                <w:i w:val="0"/>
                <w:color w:val="333333"/>
                <w:sz w:val="17"/>
              </w:rPr>
              <w:t>Envea</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48.0–60.0€</w:t>
            </w:r>
          </w:p>
        </w:tc>
        <w:tc>
          <w:tcPr>
            <w:tcW w:type="dxa" w:w="1020"/>
            <w:shd w:val="clear" w:color="auto" w:fill="FFFBEB"/>
          </w:tcPr>
          <w:p>
            <w:r>
              <w:rPr>
                <w:rFonts w:ascii="Arial" w:hAnsi="Arial"/>
                <w:b/>
                <w:i w:val="0"/>
                <w:color w:val="D97706"/>
                <w:sz w:val="17"/>
              </w:rPr>
              <w:t>1.1x</w:t>
            </w:r>
          </w:p>
        </w:tc>
        <w:tc>
          <w:tcPr>
            <w:tcW w:type="dxa" w:w="1020"/>
            <w:shd w:val="clear" w:color="auto" w:fill="DCFCE7"/>
          </w:tcPr>
          <w:p>
            <w:r>
              <w:rPr>
                <w:rFonts w:ascii="Arial" w:hAnsi="Arial"/>
                <w:b w:val="0"/>
                <w:i w:val="0"/>
                <w:color w:val="16A34A"/>
                <w:sz w:val="17"/>
              </w:rPr>
              <w:t>+12.7%</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21</w:t>
            </w:r>
          </w:p>
        </w:tc>
        <w:tc>
          <w:tcPr>
            <w:tcW w:type="dxa" w:w="1020"/>
            <w:shd w:val="clear" w:color="auto" w:fill="EFF6FF"/>
          </w:tcPr>
          <w:p>
            <w:r>
              <w:rPr>
                <w:rFonts w:ascii="Arial" w:hAnsi="Arial"/>
                <w:b/>
                <w:i w:val="0"/>
                <w:color w:val="0F2540"/>
                <w:sz w:val="17"/>
              </w:rPr>
              <w:t>ITRLN</w:t>
            </w:r>
          </w:p>
        </w:tc>
        <w:tc>
          <w:tcPr>
            <w:tcW w:type="dxa" w:w="1020"/>
            <w:shd w:val="clear" w:color="auto" w:fill="FAFAFA"/>
          </w:tcPr>
          <w:p>
            <w:r>
              <w:rPr>
                <w:rFonts w:ascii="Arial" w:hAnsi="Arial"/>
                <w:b w:val="0"/>
                <w:i w:val="0"/>
                <w:color w:val="333333"/>
                <w:sz w:val="17"/>
              </w:rPr>
              <w:t>Interroll</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1980.0–2420.0€</w:t>
            </w:r>
          </w:p>
        </w:tc>
        <w:tc>
          <w:tcPr>
            <w:tcW w:type="dxa" w:w="1020"/>
            <w:shd w:val="clear" w:color="auto" w:fill="FFFBEB"/>
          </w:tcPr>
          <w:p>
            <w:r>
              <w:rPr>
                <w:rFonts w:ascii="Arial" w:hAnsi="Arial"/>
                <w:b/>
                <w:i w:val="0"/>
                <w:color w:val="D97706"/>
                <w:sz w:val="17"/>
              </w:rPr>
              <w:t>1.0x</w:t>
            </w:r>
          </w:p>
        </w:tc>
        <w:tc>
          <w:tcPr>
            <w:tcW w:type="dxa" w:w="1020"/>
            <w:shd w:val="clear" w:color="auto" w:fill="DCFCE7"/>
          </w:tcPr>
          <w:p>
            <w:r>
              <w:rPr>
                <w:rFonts w:ascii="Arial" w:hAnsi="Arial"/>
                <w:b w:val="0"/>
                <w:i w:val="0"/>
                <w:color w:val="16A34A"/>
                <w:sz w:val="17"/>
              </w:rPr>
              <w:t>+12.0%</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22</w:t>
            </w:r>
          </w:p>
        </w:tc>
        <w:tc>
          <w:tcPr>
            <w:tcW w:type="dxa" w:w="1020"/>
            <w:shd w:val="clear" w:color="auto" w:fill="EFF6FF"/>
          </w:tcPr>
          <w:p>
            <w:r>
              <w:rPr>
                <w:rFonts w:ascii="Arial" w:hAnsi="Arial"/>
                <w:b/>
                <w:i w:val="0"/>
                <w:color w:val="0F2540"/>
                <w:sz w:val="17"/>
              </w:rPr>
              <w:t>ALIDS</w:t>
            </w:r>
          </w:p>
        </w:tc>
        <w:tc>
          <w:tcPr>
            <w:tcW w:type="dxa" w:w="1020"/>
            <w:shd w:val="clear" w:color="auto" w:fill="FAFAFA"/>
          </w:tcPr>
          <w:p>
            <w:r>
              <w:rPr>
                <w:rFonts w:ascii="Arial" w:hAnsi="Arial"/>
                <w:b w:val="0"/>
                <w:i w:val="0"/>
                <w:color w:val="333333"/>
                <w:sz w:val="17"/>
              </w:rPr>
              <w:t>IDS Defense</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19.0–24.0€</w:t>
            </w:r>
          </w:p>
        </w:tc>
        <w:tc>
          <w:tcPr>
            <w:tcW w:type="dxa" w:w="1020"/>
            <w:shd w:val="clear" w:color="auto" w:fill="FFFBEB"/>
          </w:tcPr>
          <w:p>
            <w:r>
              <w:rPr>
                <w:rFonts w:ascii="Arial" w:hAnsi="Arial"/>
                <w:b/>
                <w:i w:val="0"/>
                <w:color w:val="D97706"/>
                <w:sz w:val="17"/>
              </w:rPr>
              <w:t>1.3x</w:t>
            </w:r>
          </w:p>
        </w:tc>
        <w:tc>
          <w:tcPr>
            <w:tcW w:type="dxa" w:w="1020"/>
            <w:shd w:val="clear" w:color="auto" w:fill="DCFCE7"/>
          </w:tcPr>
          <w:p>
            <w:r>
              <w:rPr>
                <w:rFonts w:ascii="Arial" w:hAnsi="Arial"/>
                <w:b w:val="0"/>
                <w:i w:val="0"/>
                <w:color w:val="16A34A"/>
                <w:sz w:val="17"/>
              </w:rPr>
              <w:t>+18.2%</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23</w:t>
            </w:r>
          </w:p>
        </w:tc>
        <w:tc>
          <w:tcPr>
            <w:tcW w:type="dxa" w:w="1020"/>
            <w:shd w:val="clear" w:color="auto" w:fill="EFF6FF"/>
          </w:tcPr>
          <w:p>
            <w:r>
              <w:rPr>
                <w:rFonts w:ascii="Arial" w:hAnsi="Arial"/>
                <w:b/>
                <w:i w:val="0"/>
                <w:color w:val="0F2540"/>
                <w:sz w:val="17"/>
              </w:rPr>
              <w:t>SODITECH</w:t>
            </w:r>
          </w:p>
        </w:tc>
        <w:tc>
          <w:tcPr>
            <w:tcW w:type="dxa" w:w="1020"/>
            <w:shd w:val="clear" w:color="auto" w:fill="FAFAFA"/>
          </w:tcPr>
          <w:p>
            <w:r>
              <w:rPr>
                <w:rFonts w:ascii="Arial" w:hAnsi="Arial"/>
                <w:b w:val="0"/>
                <w:i w:val="0"/>
                <w:color w:val="333333"/>
                <w:sz w:val="17"/>
              </w:rPr>
              <w:t>Soditech Spati</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15.5–19.5€</w:t>
            </w:r>
          </w:p>
        </w:tc>
        <w:tc>
          <w:tcPr>
            <w:tcW w:type="dxa" w:w="1020"/>
            <w:shd w:val="clear" w:color="auto" w:fill="FFFBEB"/>
          </w:tcPr>
          <w:p>
            <w:r>
              <w:rPr>
                <w:rFonts w:ascii="Arial" w:hAnsi="Arial"/>
                <w:b/>
                <w:i w:val="0"/>
                <w:color w:val="D97706"/>
                <w:sz w:val="17"/>
              </w:rPr>
              <w:t>1.2x</w:t>
            </w:r>
          </w:p>
        </w:tc>
        <w:tc>
          <w:tcPr>
            <w:tcW w:type="dxa" w:w="1020"/>
            <w:shd w:val="clear" w:color="auto" w:fill="DCFCE7"/>
          </w:tcPr>
          <w:p>
            <w:r>
              <w:rPr>
                <w:rFonts w:ascii="Arial" w:hAnsi="Arial"/>
                <w:b w:val="0"/>
                <w:i w:val="0"/>
                <w:color w:val="16A34A"/>
                <w:sz w:val="17"/>
              </w:rPr>
              <w:t>+16.7%</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24</w:t>
            </w:r>
          </w:p>
        </w:tc>
        <w:tc>
          <w:tcPr>
            <w:tcW w:type="dxa" w:w="1020"/>
            <w:shd w:val="clear" w:color="auto" w:fill="EFF6FF"/>
          </w:tcPr>
          <w:p>
            <w:r>
              <w:rPr>
                <w:rFonts w:ascii="Arial" w:hAnsi="Arial"/>
                <w:b/>
                <w:i w:val="0"/>
                <w:color w:val="0F2540"/>
                <w:sz w:val="17"/>
              </w:rPr>
              <w:t>IDSF</w:t>
            </w:r>
          </w:p>
        </w:tc>
        <w:tc>
          <w:tcPr>
            <w:tcW w:type="dxa" w:w="1020"/>
            <w:shd w:val="clear" w:color="auto" w:fill="FAFAFA"/>
          </w:tcPr>
          <w:p>
            <w:r>
              <w:rPr>
                <w:rFonts w:ascii="Arial" w:hAnsi="Arial"/>
                <w:b w:val="0"/>
                <w:i w:val="0"/>
                <w:color w:val="333333"/>
                <w:sz w:val="17"/>
              </w:rPr>
              <w:t>Infotel</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36.0–46.0€</w:t>
            </w:r>
          </w:p>
        </w:tc>
        <w:tc>
          <w:tcPr>
            <w:tcW w:type="dxa" w:w="1020"/>
            <w:shd w:val="clear" w:color="auto" w:fill="FFFBEB"/>
          </w:tcPr>
          <w:p>
            <w:r>
              <w:rPr>
                <w:rFonts w:ascii="Arial" w:hAnsi="Arial"/>
                <w:b/>
                <w:i w:val="0"/>
                <w:color w:val="D97706"/>
                <w:sz w:val="17"/>
              </w:rPr>
              <w:t>1.1x</w:t>
            </w:r>
          </w:p>
        </w:tc>
        <w:tc>
          <w:tcPr>
            <w:tcW w:type="dxa" w:w="1020"/>
            <w:shd w:val="clear" w:color="auto" w:fill="DCFCE7"/>
          </w:tcPr>
          <w:p>
            <w:r>
              <w:rPr>
                <w:rFonts w:ascii="Arial" w:hAnsi="Arial"/>
                <w:b w:val="0"/>
                <w:i w:val="0"/>
                <w:color w:val="16A34A"/>
                <w:sz w:val="17"/>
              </w:rPr>
              <w:t>+19.0%</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25</w:t>
            </w:r>
          </w:p>
        </w:tc>
        <w:tc>
          <w:tcPr>
            <w:tcW w:type="dxa" w:w="1020"/>
            <w:shd w:val="clear" w:color="auto" w:fill="EFF6FF"/>
          </w:tcPr>
          <w:p>
            <w:r>
              <w:rPr>
                <w:rFonts w:ascii="Arial" w:hAnsi="Arial"/>
                <w:b/>
                <w:i w:val="0"/>
                <w:color w:val="0F2540"/>
                <w:sz w:val="17"/>
              </w:rPr>
              <w:t>MLHRZ</w:t>
            </w:r>
          </w:p>
        </w:tc>
        <w:tc>
          <w:tcPr>
            <w:tcW w:type="dxa" w:w="1020"/>
            <w:shd w:val="clear" w:color="auto" w:fill="FAFAFA"/>
          </w:tcPr>
          <w:p>
            <w:r>
              <w:rPr>
                <w:rFonts w:ascii="Arial" w:hAnsi="Arial"/>
                <w:b w:val="0"/>
                <w:i w:val="0"/>
                <w:color w:val="333333"/>
                <w:sz w:val="17"/>
              </w:rPr>
              <w:t>Horiba</w:t>
            </w:r>
          </w:p>
        </w:tc>
        <w:tc>
          <w:tcPr>
            <w:tcW w:type="dxa" w:w="1020"/>
            <w:shd w:val="clear" w:color="auto" w:fill="DCFCE7"/>
          </w:tcPr>
          <w:p>
            <w:r>
              <w:rPr>
                <w:rFonts w:ascii="Arial" w:hAnsi="Arial"/>
                <w:b/>
                <w:i w:val="0"/>
                <w:color w:val="16A34A"/>
                <w:sz w:val="17"/>
              </w:rPr>
              <w:t>85/100</w:t>
            </w:r>
          </w:p>
        </w:tc>
        <w:tc>
          <w:tcPr>
            <w:tcW w:type="dxa" w:w="1020"/>
            <w:shd w:val="clear" w:color="auto" w:fill="DCFCE7"/>
          </w:tcPr>
          <w:p>
            <w:r>
              <w:rPr>
                <w:rFonts w:ascii="Arial" w:hAnsi="Arial"/>
                <w:b w:val="0"/>
                <w:i w:val="0"/>
                <w:color w:val="16A34A"/>
                <w:sz w:val="17"/>
              </w:rPr>
              <w:t>60.0–74.0€</w:t>
            </w:r>
          </w:p>
        </w:tc>
        <w:tc>
          <w:tcPr>
            <w:tcW w:type="dxa" w:w="1020"/>
            <w:shd w:val="clear" w:color="auto" w:fill="FFFBEB"/>
          </w:tcPr>
          <w:p>
            <w:r>
              <w:rPr>
                <w:rFonts w:ascii="Arial" w:hAnsi="Arial"/>
                <w:b/>
                <w:i w:val="0"/>
                <w:color w:val="D97706"/>
                <w:sz w:val="17"/>
              </w:rPr>
              <w:t>1.4x</w:t>
            </w:r>
          </w:p>
        </w:tc>
        <w:tc>
          <w:tcPr>
            <w:tcW w:type="dxa" w:w="1020"/>
            <w:shd w:val="clear" w:color="auto" w:fill="DCFCE7"/>
          </w:tcPr>
          <w:p>
            <w:r>
              <w:rPr>
                <w:rFonts w:ascii="Arial" w:hAnsi="Arial"/>
                <w:b w:val="0"/>
                <w:i w:val="0"/>
                <w:color w:val="16A34A"/>
                <w:sz w:val="17"/>
              </w:rPr>
              <w:t>+20.6%</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26</w:t>
            </w:r>
          </w:p>
        </w:tc>
        <w:tc>
          <w:tcPr>
            <w:tcW w:type="dxa" w:w="1020"/>
            <w:shd w:val="clear" w:color="auto" w:fill="EFF6FF"/>
          </w:tcPr>
          <w:p>
            <w:r>
              <w:rPr>
                <w:rFonts w:ascii="Arial" w:hAnsi="Arial"/>
                <w:b/>
                <w:i w:val="0"/>
                <w:color w:val="0F2540"/>
                <w:sz w:val="17"/>
              </w:rPr>
              <w:t>AI</w:t>
            </w:r>
          </w:p>
        </w:tc>
        <w:tc>
          <w:tcPr>
            <w:tcW w:type="dxa" w:w="1020"/>
            <w:shd w:val="clear" w:color="auto" w:fill="FAFAFA"/>
          </w:tcPr>
          <w:p>
            <w:r>
              <w:rPr>
                <w:rFonts w:ascii="Arial" w:hAnsi="Arial"/>
                <w:b w:val="0"/>
                <w:i w:val="0"/>
                <w:color w:val="333333"/>
                <w:sz w:val="17"/>
              </w:rPr>
              <w:t>Air Liquide</w:t>
            </w:r>
          </w:p>
        </w:tc>
        <w:tc>
          <w:tcPr>
            <w:tcW w:type="dxa" w:w="1020"/>
            <w:shd w:val="clear" w:color="auto" w:fill="DCFCE7"/>
          </w:tcPr>
          <w:p>
            <w:r>
              <w:rPr>
                <w:rFonts w:ascii="Arial" w:hAnsi="Arial"/>
                <w:b/>
                <w:i w:val="0"/>
                <w:color w:val="16A34A"/>
                <w:sz w:val="17"/>
              </w:rPr>
              <w:t>82/100</w:t>
            </w:r>
          </w:p>
        </w:tc>
        <w:tc>
          <w:tcPr>
            <w:tcW w:type="dxa" w:w="1020"/>
            <w:shd w:val="clear" w:color="auto" w:fill="DCFCE7"/>
          </w:tcPr>
          <w:p>
            <w:r>
              <w:rPr>
                <w:rFonts w:ascii="Arial" w:hAnsi="Arial"/>
                <w:b w:val="0"/>
                <w:i w:val="0"/>
                <w:color w:val="16A34A"/>
                <w:sz w:val="17"/>
              </w:rPr>
              <w:t>172.0–195.0€</w:t>
            </w:r>
          </w:p>
        </w:tc>
        <w:tc>
          <w:tcPr>
            <w:tcW w:type="dxa" w:w="1020"/>
            <w:shd w:val="clear" w:color="auto" w:fill="DCFCE7"/>
          </w:tcPr>
          <w:p>
            <w:r>
              <w:rPr>
                <w:rFonts w:ascii="Arial" w:hAnsi="Arial"/>
                <w:b/>
                <w:i w:val="0"/>
                <w:color w:val="16A34A"/>
                <w:sz w:val="17"/>
              </w:rPr>
              <w:t>1.9x</w:t>
            </w:r>
          </w:p>
        </w:tc>
        <w:tc>
          <w:tcPr>
            <w:tcW w:type="dxa" w:w="1020"/>
            <w:shd w:val="clear" w:color="auto" w:fill="DCFCE7"/>
          </w:tcPr>
          <w:p>
            <w:r>
              <w:rPr>
                <w:rFonts w:ascii="Arial" w:hAnsi="Arial"/>
                <w:b w:val="0"/>
                <w:i w:val="0"/>
                <w:color w:val="16A34A"/>
                <w:sz w:val="17"/>
              </w:rPr>
              <w:t>+16.3%</w:t>
            </w:r>
          </w:p>
        </w:tc>
        <w:tc>
          <w:tcPr>
            <w:tcW w:type="dxa" w:w="1020"/>
            <w:shd w:val="clear" w:color="auto" w:fill="DCFCE7"/>
          </w:tcPr>
          <w:p>
            <w:r>
              <w:rPr>
                <w:rFonts w:ascii="Arial" w:hAnsi="Arial"/>
                <w:b w:val="0"/>
                <w:i w:val="0"/>
                <w:color w:val="16A34A"/>
                <w:sz w:val="17"/>
              </w:rPr>
              <w:t>48</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7/9</w:t>
            </w:r>
          </w:p>
        </w:tc>
      </w:tr>
      <w:tr>
        <w:tc>
          <w:tcPr>
            <w:tcW w:type="dxa" w:w="1020"/>
            <w:shd w:val="clear" w:color="auto" w:fill="F0FDF4"/>
          </w:tcPr>
          <w:p>
            <w:r>
              <w:rPr>
                <w:rFonts w:ascii="Arial" w:hAnsi="Arial"/>
                <w:b/>
                <w:i w:val="0"/>
                <w:color w:val="16A34A"/>
                <w:sz w:val="17"/>
              </w:rPr>
              <w:t>27</w:t>
            </w:r>
          </w:p>
        </w:tc>
        <w:tc>
          <w:tcPr>
            <w:tcW w:type="dxa" w:w="1020"/>
            <w:shd w:val="clear" w:color="auto" w:fill="EFF6FF"/>
          </w:tcPr>
          <w:p>
            <w:r>
              <w:rPr>
                <w:rFonts w:ascii="Arial" w:hAnsi="Arial"/>
                <w:b/>
                <w:i w:val="0"/>
                <w:color w:val="0F2540"/>
                <w:sz w:val="17"/>
              </w:rPr>
              <w:t>SELENV</w:t>
            </w:r>
          </w:p>
        </w:tc>
        <w:tc>
          <w:tcPr>
            <w:tcW w:type="dxa" w:w="1020"/>
            <w:shd w:val="clear" w:color="auto" w:fill="FAFAFA"/>
          </w:tcPr>
          <w:p>
            <w:r>
              <w:rPr>
                <w:rFonts w:ascii="Arial" w:hAnsi="Arial"/>
                <w:b w:val="0"/>
                <w:i w:val="0"/>
                <w:color w:val="333333"/>
                <w:sz w:val="17"/>
              </w:rPr>
              <w:t>Seche Environn</w:t>
            </w:r>
          </w:p>
        </w:tc>
        <w:tc>
          <w:tcPr>
            <w:tcW w:type="dxa" w:w="1020"/>
            <w:shd w:val="clear" w:color="auto" w:fill="DCFCE7"/>
          </w:tcPr>
          <w:p>
            <w:r>
              <w:rPr>
                <w:rFonts w:ascii="Arial" w:hAnsi="Arial"/>
                <w:b/>
                <w:i w:val="0"/>
                <w:color w:val="16A34A"/>
                <w:sz w:val="17"/>
              </w:rPr>
              <w:t>82/100</w:t>
            </w:r>
          </w:p>
        </w:tc>
        <w:tc>
          <w:tcPr>
            <w:tcW w:type="dxa" w:w="1020"/>
            <w:shd w:val="clear" w:color="auto" w:fill="DCFCE7"/>
          </w:tcPr>
          <w:p>
            <w:r>
              <w:rPr>
                <w:rFonts w:ascii="Arial" w:hAnsi="Arial"/>
                <w:b w:val="0"/>
                <w:i w:val="0"/>
                <w:color w:val="16A34A"/>
                <w:sz w:val="17"/>
              </w:rPr>
              <w:t>74.0–92.0€</w:t>
            </w:r>
          </w:p>
        </w:tc>
        <w:tc>
          <w:tcPr>
            <w:tcW w:type="dxa" w:w="1020"/>
            <w:shd w:val="clear" w:color="auto" w:fill="FFFBEB"/>
          </w:tcPr>
          <w:p>
            <w:r>
              <w:rPr>
                <w:rFonts w:ascii="Arial" w:hAnsi="Arial"/>
                <w:b/>
                <w:i w:val="0"/>
                <w:color w:val="D97706"/>
                <w:sz w:val="17"/>
              </w:rPr>
              <w:t>1.1x</w:t>
            </w:r>
          </w:p>
        </w:tc>
        <w:tc>
          <w:tcPr>
            <w:tcW w:type="dxa" w:w="1020"/>
            <w:shd w:val="clear" w:color="auto" w:fill="DCFCE7"/>
          </w:tcPr>
          <w:p>
            <w:r>
              <w:rPr>
                <w:rFonts w:ascii="Arial" w:hAnsi="Arial"/>
                <w:b w:val="0"/>
                <w:i w:val="0"/>
                <w:color w:val="16A34A"/>
                <w:sz w:val="17"/>
              </w:rPr>
              <w:t>+15.3%</w:t>
            </w:r>
          </w:p>
        </w:tc>
        <w:tc>
          <w:tcPr>
            <w:tcW w:type="dxa" w:w="1020"/>
            <w:shd w:val="clear" w:color="auto" w:fill="DCFCE7"/>
          </w:tcPr>
          <w:p>
            <w:r>
              <w:rPr>
                <w:rFonts w:ascii="Arial" w:hAnsi="Arial"/>
                <w:b w:val="0"/>
                <w:i w:val="0"/>
                <w:color w:val="16A34A"/>
                <w:sz w:val="17"/>
              </w:rPr>
              <w:t>52</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7/9</w:t>
            </w:r>
          </w:p>
        </w:tc>
      </w:tr>
      <w:tr>
        <w:tc>
          <w:tcPr>
            <w:tcW w:type="dxa" w:w="1020"/>
            <w:shd w:val="clear" w:color="auto" w:fill="F0FDF4"/>
          </w:tcPr>
          <w:p>
            <w:r>
              <w:rPr>
                <w:rFonts w:ascii="Arial" w:hAnsi="Arial"/>
                <w:b/>
                <w:i w:val="0"/>
                <w:color w:val="16A34A"/>
                <w:sz w:val="17"/>
              </w:rPr>
              <w:t>28</w:t>
            </w:r>
          </w:p>
        </w:tc>
        <w:tc>
          <w:tcPr>
            <w:tcW w:type="dxa" w:w="1020"/>
            <w:shd w:val="clear" w:color="auto" w:fill="EFF6FF"/>
          </w:tcPr>
          <w:p>
            <w:r>
              <w:rPr>
                <w:rFonts w:ascii="Arial" w:hAnsi="Arial"/>
                <w:b/>
                <w:i w:val="0"/>
                <w:color w:val="0F2540"/>
                <w:sz w:val="17"/>
              </w:rPr>
              <w:t>COGEFI</w:t>
            </w:r>
          </w:p>
        </w:tc>
        <w:tc>
          <w:tcPr>
            <w:tcW w:type="dxa" w:w="1020"/>
            <w:shd w:val="clear" w:color="auto" w:fill="FAFAFA"/>
          </w:tcPr>
          <w:p>
            <w:r>
              <w:rPr>
                <w:rFonts w:ascii="Arial" w:hAnsi="Arial"/>
                <w:b w:val="0"/>
                <w:i w:val="0"/>
                <w:color w:val="333333"/>
                <w:sz w:val="17"/>
              </w:rPr>
              <w:t>Cogefi Selecti</w:t>
            </w:r>
          </w:p>
        </w:tc>
        <w:tc>
          <w:tcPr>
            <w:tcW w:type="dxa" w:w="1020"/>
            <w:shd w:val="clear" w:color="auto" w:fill="DCFCE7"/>
          </w:tcPr>
          <w:p>
            <w:r>
              <w:rPr>
                <w:rFonts w:ascii="Arial" w:hAnsi="Arial"/>
                <w:b/>
                <w:i w:val="0"/>
                <w:color w:val="16A34A"/>
                <w:sz w:val="17"/>
              </w:rPr>
              <w:t>80/100</w:t>
            </w:r>
          </w:p>
        </w:tc>
        <w:tc>
          <w:tcPr>
            <w:tcW w:type="dxa" w:w="1020"/>
            <w:shd w:val="clear" w:color="auto" w:fill="DCFCE7"/>
          </w:tcPr>
          <w:p>
            <w:r>
              <w:rPr>
                <w:rFonts w:ascii="Arial" w:hAnsi="Arial"/>
                <w:b w:val="0"/>
                <w:i w:val="0"/>
                <w:color w:val="16A34A"/>
                <w:sz w:val="17"/>
              </w:rPr>
              <w:t>11.5–13.2€</w:t>
            </w:r>
          </w:p>
        </w:tc>
        <w:tc>
          <w:tcPr>
            <w:tcW w:type="dxa" w:w="1020"/>
            <w:shd w:val="clear" w:color="auto" w:fill="FFFBEB"/>
          </w:tcPr>
          <w:p>
            <w:r>
              <w:rPr>
                <w:rFonts w:ascii="Arial" w:hAnsi="Arial"/>
                <w:b/>
                <w:i w:val="0"/>
                <w:color w:val="D97706"/>
                <w:sz w:val="17"/>
              </w:rPr>
              <w:t>1.2x</w:t>
            </w:r>
          </w:p>
        </w:tc>
        <w:tc>
          <w:tcPr>
            <w:tcW w:type="dxa" w:w="1020"/>
            <w:shd w:val="clear" w:color="auto" w:fill="DCFCE7"/>
          </w:tcPr>
          <w:p>
            <w:r>
              <w:rPr>
                <w:rFonts w:ascii="Arial" w:hAnsi="Arial"/>
                <w:b w:val="0"/>
                <w:i w:val="0"/>
                <w:color w:val="16A34A"/>
                <w:sz w:val="17"/>
              </w:rPr>
              <w:t>+21.1%</w:t>
            </w:r>
          </w:p>
        </w:tc>
        <w:tc>
          <w:tcPr>
            <w:tcW w:type="dxa" w:w="1020"/>
            <w:shd w:val="clear" w:color="auto" w:fill="DCFCE7"/>
          </w:tcPr>
          <w:p>
            <w:r>
              <w:rPr>
                <w:rFonts w:ascii="Arial" w:hAnsi="Arial"/>
                <w:b w:val="0"/>
                <w:i w:val="0"/>
                <w:color w:val="16A34A"/>
                <w:sz w:val="17"/>
              </w:rPr>
              <w:t>45</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29</w:t>
            </w:r>
          </w:p>
        </w:tc>
        <w:tc>
          <w:tcPr>
            <w:tcW w:type="dxa" w:w="1020"/>
            <w:shd w:val="clear" w:color="auto" w:fill="EFF6FF"/>
          </w:tcPr>
          <w:p>
            <w:r>
              <w:rPr>
                <w:rFonts w:ascii="Arial" w:hAnsi="Arial"/>
                <w:b/>
                <w:i w:val="0"/>
                <w:color w:val="0F2540"/>
                <w:sz w:val="17"/>
              </w:rPr>
              <w:t>THERMADOR</w:t>
            </w:r>
          </w:p>
        </w:tc>
        <w:tc>
          <w:tcPr>
            <w:tcW w:type="dxa" w:w="1020"/>
            <w:shd w:val="clear" w:color="auto" w:fill="FAFAFA"/>
          </w:tcPr>
          <w:p>
            <w:r>
              <w:rPr>
                <w:rFonts w:ascii="Arial" w:hAnsi="Arial"/>
                <w:b w:val="0"/>
                <w:i w:val="0"/>
                <w:color w:val="333333"/>
                <w:sz w:val="17"/>
              </w:rPr>
              <w:t>Thermador</w:t>
            </w:r>
          </w:p>
        </w:tc>
        <w:tc>
          <w:tcPr>
            <w:tcW w:type="dxa" w:w="1020"/>
            <w:shd w:val="clear" w:color="auto" w:fill="DCFCE7"/>
          </w:tcPr>
          <w:p>
            <w:r>
              <w:rPr>
                <w:rFonts w:ascii="Arial" w:hAnsi="Arial"/>
                <w:b/>
                <w:i w:val="0"/>
                <w:color w:val="16A34A"/>
                <w:sz w:val="17"/>
              </w:rPr>
              <w:t>80/100</w:t>
            </w:r>
          </w:p>
        </w:tc>
        <w:tc>
          <w:tcPr>
            <w:tcW w:type="dxa" w:w="1020"/>
            <w:shd w:val="clear" w:color="auto" w:fill="DCFCE7"/>
          </w:tcPr>
          <w:p>
            <w:r>
              <w:rPr>
                <w:rFonts w:ascii="Arial" w:hAnsi="Arial"/>
                <w:b w:val="0"/>
                <w:i w:val="0"/>
                <w:color w:val="16A34A"/>
                <w:sz w:val="17"/>
              </w:rPr>
              <w:t>78.0–95.0€</w:t>
            </w:r>
          </w:p>
        </w:tc>
        <w:tc>
          <w:tcPr>
            <w:tcW w:type="dxa" w:w="1020"/>
            <w:shd w:val="clear" w:color="auto" w:fill="FFFBEB"/>
          </w:tcPr>
          <w:p>
            <w:r>
              <w:rPr>
                <w:rFonts w:ascii="Arial" w:hAnsi="Arial"/>
                <w:b/>
                <w:i w:val="0"/>
                <w:color w:val="D97706"/>
                <w:sz w:val="17"/>
              </w:rPr>
              <w:t>0x</w:t>
            </w:r>
          </w:p>
        </w:tc>
        <w:tc>
          <w:tcPr>
            <w:tcW w:type="dxa" w:w="1020"/>
            <w:shd w:val="clear" w:color="auto" w:fill="DCFCE7"/>
          </w:tcPr>
          <w:p>
            <w:r>
              <w:rPr>
                <w:rFonts w:ascii="Arial" w:hAnsi="Arial"/>
                <w:b w:val="0"/>
                <w:i w:val="0"/>
                <w:color w:val="16A34A"/>
                <w:sz w:val="17"/>
              </w:rPr>
              <w:t>+43.3%</w:t>
            </w:r>
          </w:p>
        </w:tc>
        <w:tc>
          <w:tcPr>
            <w:tcW w:type="dxa" w:w="1020"/>
            <w:shd w:val="clear" w:color="auto" w:fill="DCFCE7"/>
          </w:tcPr>
          <w:p>
            <w:r>
              <w:rPr>
                <w:rFonts w:ascii="Arial" w:hAnsi="Arial"/>
                <w:b w:val="0"/>
                <w:i w:val="0"/>
                <w:color w:val="16A34A"/>
                <w:sz w:val="17"/>
              </w:rPr>
              <w:t>50</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30</w:t>
            </w:r>
          </w:p>
        </w:tc>
        <w:tc>
          <w:tcPr>
            <w:tcW w:type="dxa" w:w="1020"/>
            <w:shd w:val="clear" w:color="auto" w:fill="EFF6FF"/>
          </w:tcPr>
          <w:p>
            <w:r>
              <w:rPr>
                <w:rFonts w:ascii="Arial" w:hAnsi="Arial"/>
                <w:b/>
                <w:i w:val="0"/>
                <w:color w:val="0F2540"/>
                <w:sz w:val="17"/>
              </w:rPr>
              <w:t>RADIALL</w:t>
            </w:r>
          </w:p>
        </w:tc>
        <w:tc>
          <w:tcPr>
            <w:tcW w:type="dxa" w:w="1020"/>
            <w:shd w:val="clear" w:color="auto" w:fill="FAFAFA"/>
          </w:tcPr>
          <w:p>
            <w:r>
              <w:rPr>
                <w:rFonts w:ascii="Arial" w:hAnsi="Arial"/>
                <w:b w:val="0"/>
                <w:i w:val="0"/>
                <w:color w:val="333333"/>
                <w:sz w:val="17"/>
              </w:rPr>
              <w:t>Radiall</w:t>
            </w:r>
          </w:p>
        </w:tc>
        <w:tc>
          <w:tcPr>
            <w:tcW w:type="dxa" w:w="1020"/>
            <w:shd w:val="clear" w:color="auto" w:fill="DCFCE7"/>
          </w:tcPr>
          <w:p>
            <w:r>
              <w:rPr>
                <w:rFonts w:ascii="Arial" w:hAnsi="Arial"/>
                <w:b/>
                <w:i w:val="0"/>
                <w:color w:val="16A34A"/>
                <w:sz w:val="17"/>
              </w:rPr>
              <w:t>80/100</w:t>
            </w:r>
          </w:p>
        </w:tc>
        <w:tc>
          <w:tcPr>
            <w:tcW w:type="dxa" w:w="1020"/>
            <w:shd w:val="clear" w:color="auto" w:fill="DCFCE7"/>
          </w:tcPr>
          <w:p>
            <w:r>
              <w:rPr>
                <w:rFonts w:ascii="Arial" w:hAnsi="Arial"/>
                <w:b w:val="0"/>
                <w:i w:val="0"/>
                <w:color w:val="16A34A"/>
                <w:sz w:val="17"/>
              </w:rPr>
              <w:t>172.0–210.0€</w:t>
            </w:r>
          </w:p>
        </w:tc>
        <w:tc>
          <w:tcPr>
            <w:tcW w:type="dxa" w:w="1020"/>
            <w:shd w:val="clear" w:color="auto" w:fill="FFFBEB"/>
          </w:tcPr>
          <w:p>
            <w:r>
              <w:rPr>
                <w:rFonts w:ascii="Arial" w:hAnsi="Arial"/>
                <w:b/>
                <w:i w:val="0"/>
                <w:color w:val="D97706"/>
                <w:sz w:val="17"/>
              </w:rPr>
              <w:t>0.9x</w:t>
            </w:r>
          </w:p>
        </w:tc>
        <w:tc>
          <w:tcPr>
            <w:tcW w:type="dxa" w:w="1020"/>
            <w:shd w:val="clear" w:color="auto" w:fill="DCFCE7"/>
          </w:tcPr>
          <w:p>
            <w:r>
              <w:rPr>
                <w:rFonts w:ascii="Arial" w:hAnsi="Arial"/>
                <w:b w:val="0"/>
                <w:i w:val="0"/>
                <w:color w:val="16A34A"/>
                <w:sz w:val="17"/>
              </w:rPr>
              <w:t>+11.8%</w:t>
            </w:r>
          </w:p>
        </w:tc>
        <w:tc>
          <w:tcPr>
            <w:tcW w:type="dxa" w:w="1020"/>
            <w:shd w:val="clear" w:color="auto" w:fill="DCFCE7"/>
          </w:tcPr>
          <w:p>
            <w:r>
              <w:rPr>
                <w:rFonts w:ascii="Arial" w:hAnsi="Arial"/>
                <w:b w:val="0"/>
                <w:i w:val="0"/>
                <w:color w:val="16A34A"/>
                <w:sz w:val="17"/>
              </w:rPr>
              <w:t>50</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31</w:t>
            </w:r>
          </w:p>
        </w:tc>
        <w:tc>
          <w:tcPr>
            <w:tcW w:type="dxa" w:w="1020"/>
            <w:shd w:val="clear" w:color="auto" w:fill="EFF6FF"/>
          </w:tcPr>
          <w:p>
            <w:r>
              <w:rPr>
                <w:rFonts w:ascii="Arial" w:hAnsi="Arial"/>
                <w:b/>
                <w:i w:val="0"/>
                <w:color w:val="0F2540"/>
                <w:sz w:val="17"/>
              </w:rPr>
              <w:t>TRGO</w:t>
            </w:r>
          </w:p>
        </w:tc>
        <w:tc>
          <w:tcPr>
            <w:tcW w:type="dxa" w:w="1020"/>
            <w:shd w:val="clear" w:color="auto" w:fill="FAFAFA"/>
          </w:tcPr>
          <w:p>
            <w:r>
              <w:rPr>
                <w:rFonts w:ascii="Arial" w:hAnsi="Arial"/>
                <w:b w:val="0"/>
                <w:i w:val="0"/>
                <w:color w:val="333333"/>
                <w:sz w:val="17"/>
              </w:rPr>
              <w:t>Trigano Campin</w:t>
            </w:r>
          </w:p>
        </w:tc>
        <w:tc>
          <w:tcPr>
            <w:tcW w:type="dxa" w:w="1020"/>
            <w:shd w:val="clear" w:color="auto" w:fill="DCFCE7"/>
          </w:tcPr>
          <w:p>
            <w:r>
              <w:rPr>
                <w:rFonts w:ascii="Arial" w:hAnsi="Arial"/>
                <w:b/>
                <w:i w:val="0"/>
                <w:color w:val="16A34A"/>
                <w:sz w:val="17"/>
              </w:rPr>
              <w:t>80/100</w:t>
            </w:r>
          </w:p>
        </w:tc>
        <w:tc>
          <w:tcPr>
            <w:tcW w:type="dxa" w:w="1020"/>
            <w:shd w:val="clear" w:color="auto" w:fill="DCFCE7"/>
          </w:tcPr>
          <w:p>
            <w:r>
              <w:rPr>
                <w:rFonts w:ascii="Arial" w:hAnsi="Arial"/>
                <w:b w:val="0"/>
                <w:i w:val="0"/>
                <w:color w:val="16A34A"/>
                <w:sz w:val="17"/>
              </w:rPr>
              <w:t>148.0–182.0€</w:t>
            </w:r>
          </w:p>
        </w:tc>
        <w:tc>
          <w:tcPr>
            <w:tcW w:type="dxa" w:w="1020"/>
            <w:shd w:val="clear" w:color="auto" w:fill="DCFCE7"/>
          </w:tcPr>
          <w:p>
            <w:r>
              <w:rPr>
                <w:rFonts w:ascii="Arial" w:hAnsi="Arial"/>
                <w:b/>
                <w:i w:val="0"/>
                <w:color w:val="16A34A"/>
                <w:sz w:val="17"/>
              </w:rPr>
              <w:t>1.9x</w:t>
            </w:r>
          </w:p>
        </w:tc>
        <w:tc>
          <w:tcPr>
            <w:tcW w:type="dxa" w:w="1020"/>
            <w:shd w:val="clear" w:color="auto" w:fill="DCFCE7"/>
          </w:tcPr>
          <w:p>
            <w:r>
              <w:rPr>
                <w:rFonts w:ascii="Arial" w:hAnsi="Arial"/>
                <w:b w:val="0"/>
                <w:i w:val="0"/>
                <w:color w:val="16A34A"/>
                <w:sz w:val="17"/>
              </w:rPr>
              <w:t>+23.2%</w:t>
            </w:r>
          </w:p>
        </w:tc>
        <w:tc>
          <w:tcPr>
            <w:tcW w:type="dxa" w:w="1020"/>
            <w:shd w:val="clear" w:color="auto" w:fill="DCFCE7"/>
          </w:tcPr>
          <w:p>
            <w:r>
              <w:rPr>
                <w:rFonts w:ascii="Arial" w:hAnsi="Arial"/>
                <w:b w:val="0"/>
                <w:i w:val="0"/>
                <w:color w:val="16A34A"/>
                <w:sz w:val="17"/>
              </w:rPr>
              <w:t>52</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32</w:t>
            </w:r>
          </w:p>
        </w:tc>
        <w:tc>
          <w:tcPr>
            <w:tcW w:type="dxa" w:w="1020"/>
            <w:shd w:val="clear" w:color="auto" w:fill="EFF6FF"/>
          </w:tcPr>
          <w:p>
            <w:r>
              <w:rPr>
                <w:rFonts w:ascii="Arial" w:hAnsi="Arial"/>
                <w:b/>
                <w:i w:val="0"/>
                <w:color w:val="0F2540"/>
                <w:sz w:val="17"/>
              </w:rPr>
              <w:t>THERMD</w:t>
            </w:r>
          </w:p>
        </w:tc>
        <w:tc>
          <w:tcPr>
            <w:tcW w:type="dxa" w:w="1020"/>
            <w:shd w:val="clear" w:color="auto" w:fill="FAFAFA"/>
          </w:tcPr>
          <w:p>
            <w:r>
              <w:rPr>
                <w:rFonts w:ascii="Arial" w:hAnsi="Arial"/>
                <w:b w:val="0"/>
                <w:i w:val="0"/>
                <w:color w:val="333333"/>
                <w:sz w:val="17"/>
              </w:rPr>
              <w:t>Thermador Grou</w:t>
            </w:r>
          </w:p>
        </w:tc>
        <w:tc>
          <w:tcPr>
            <w:tcW w:type="dxa" w:w="1020"/>
            <w:shd w:val="clear" w:color="auto" w:fill="DCFCE7"/>
          </w:tcPr>
          <w:p>
            <w:r>
              <w:rPr>
                <w:rFonts w:ascii="Arial" w:hAnsi="Arial"/>
                <w:b/>
                <w:i w:val="0"/>
                <w:color w:val="16A34A"/>
                <w:sz w:val="17"/>
              </w:rPr>
              <w:t>80/100</w:t>
            </w:r>
          </w:p>
        </w:tc>
        <w:tc>
          <w:tcPr>
            <w:tcW w:type="dxa" w:w="1020"/>
            <w:shd w:val="clear" w:color="auto" w:fill="DCFCE7"/>
          </w:tcPr>
          <w:p>
            <w:r>
              <w:rPr>
                <w:rFonts w:ascii="Arial" w:hAnsi="Arial"/>
                <w:b w:val="0"/>
                <w:i w:val="0"/>
                <w:color w:val="16A34A"/>
                <w:sz w:val="17"/>
              </w:rPr>
              <w:t>63.0–78.0€</w:t>
            </w:r>
          </w:p>
        </w:tc>
        <w:tc>
          <w:tcPr>
            <w:tcW w:type="dxa" w:w="1020"/>
            <w:shd w:val="clear" w:color="auto" w:fill="DCFCE7"/>
          </w:tcPr>
          <w:p>
            <w:r>
              <w:rPr>
                <w:rFonts w:ascii="Arial" w:hAnsi="Arial"/>
                <w:b/>
                <w:i w:val="0"/>
                <w:color w:val="16A34A"/>
                <w:sz w:val="17"/>
              </w:rPr>
              <w:t>1.7x</w:t>
            </w:r>
          </w:p>
        </w:tc>
        <w:tc>
          <w:tcPr>
            <w:tcW w:type="dxa" w:w="1020"/>
            <w:shd w:val="clear" w:color="auto" w:fill="DCFCE7"/>
          </w:tcPr>
          <w:p>
            <w:r>
              <w:rPr>
                <w:rFonts w:ascii="Arial" w:hAnsi="Arial"/>
                <w:b w:val="0"/>
                <w:i w:val="0"/>
                <w:color w:val="16A34A"/>
                <w:sz w:val="17"/>
              </w:rPr>
              <w:t>+24.3%</w:t>
            </w:r>
          </w:p>
        </w:tc>
        <w:tc>
          <w:tcPr>
            <w:tcW w:type="dxa" w:w="1020"/>
            <w:shd w:val="clear" w:color="auto" w:fill="DCFCE7"/>
          </w:tcPr>
          <w:p>
            <w:r>
              <w:rPr>
                <w:rFonts w:ascii="Arial" w:hAnsi="Arial"/>
                <w:b w:val="0"/>
                <w:i w:val="0"/>
                <w:color w:val="16A34A"/>
                <w:sz w:val="17"/>
              </w:rPr>
              <w:t>50</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9/9</w:t>
            </w:r>
          </w:p>
        </w:tc>
      </w:tr>
      <w:tr>
        <w:tc>
          <w:tcPr>
            <w:tcW w:type="dxa" w:w="1020"/>
            <w:shd w:val="clear" w:color="auto" w:fill="F0FDF4"/>
          </w:tcPr>
          <w:p>
            <w:r>
              <w:rPr>
                <w:rFonts w:ascii="Arial" w:hAnsi="Arial"/>
                <w:b/>
                <w:i w:val="0"/>
                <w:color w:val="16A34A"/>
                <w:sz w:val="17"/>
              </w:rPr>
              <w:t>33</w:t>
            </w:r>
          </w:p>
        </w:tc>
        <w:tc>
          <w:tcPr>
            <w:tcW w:type="dxa" w:w="1020"/>
            <w:shd w:val="clear" w:color="auto" w:fill="EFF6FF"/>
          </w:tcPr>
          <w:p>
            <w:r>
              <w:rPr>
                <w:rFonts w:ascii="Arial" w:hAnsi="Arial"/>
                <w:b/>
                <w:i w:val="0"/>
                <w:color w:val="0F2540"/>
                <w:sz w:val="17"/>
              </w:rPr>
              <w:t>NEXANS</w:t>
            </w:r>
          </w:p>
        </w:tc>
        <w:tc>
          <w:tcPr>
            <w:tcW w:type="dxa" w:w="1020"/>
            <w:shd w:val="clear" w:color="auto" w:fill="FAFAFA"/>
          </w:tcPr>
          <w:p>
            <w:r>
              <w:rPr>
                <w:rFonts w:ascii="Arial" w:hAnsi="Arial"/>
                <w:b w:val="0"/>
                <w:i w:val="0"/>
                <w:color w:val="333333"/>
                <w:sz w:val="17"/>
              </w:rPr>
              <w:t>Nexans</w:t>
            </w:r>
          </w:p>
        </w:tc>
        <w:tc>
          <w:tcPr>
            <w:tcW w:type="dxa" w:w="1020"/>
            <w:shd w:val="clear" w:color="auto" w:fill="DCFCE7"/>
          </w:tcPr>
          <w:p>
            <w:r>
              <w:rPr>
                <w:rFonts w:ascii="Arial" w:hAnsi="Arial"/>
                <w:b/>
                <w:i w:val="0"/>
                <w:color w:val="16A34A"/>
                <w:sz w:val="17"/>
              </w:rPr>
              <w:t>77/100</w:t>
            </w:r>
          </w:p>
        </w:tc>
        <w:tc>
          <w:tcPr>
            <w:tcW w:type="dxa" w:w="1020"/>
            <w:shd w:val="clear" w:color="auto" w:fill="DCFCE7"/>
          </w:tcPr>
          <w:p>
            <w:r>
              <w:rPr>
                <w:rFonts w:ascii="Arial" w:hAnsi="Arial"/>
                <w:b w:val="0"/>
                <w:i w:val="0"/>
                <w:color w:val="16A34A"/>
                <w:sz w:val="17"/>
              </w:rPr>
              <w:t>147.5–179.6€</w:t>
            </w:r>
          </w:p>
        </w:tc>
        <w:tc>
          <w:tcPr>
            <w:tcW w:type="dxa" w:w="1020"/>
            <w:shd w:val="clear" w:color="auto" w:fill="FFFBEB"/>
          </w:tcPr>
          <w:p>
            <w:r>
              <w:rPr>
                <w:rFonts w:ascii="Arial" w:hAnsi="Arial"/>
                <w:b/>
                <w:i w:val="0"/>
                <w:color w:val="D97706"/>
                <w:sz w:val="17"/>
              </w:rPr>
              <w:t>1.3x</w:t>
            </w:r>
          </w:p>
        </w:tc>
        <w:tc>
          <w:tcPr>
            <w:tcW w:type="dxa" w:w="1020"/>
            <w:shd w:val="clear" w:color="auto" w:fill="DCFCE7"/>
          </w:tcPr>
          <w:p>
            <w:r>
              <w:rPr>
                <w:rFonts w:ascii="Arial" w:hAnsi="Arial"/>
                <w:b w:val="0"/>
                <w:i w:val="0"/>
                <w:color w:val="16A34A"/>
                <w:sz w:val="17"/>
              </w:rPr>
              <w:t>+13.4%</w:t>
            </w:r>
          </w:p>
        </w:tc>
        <w:tc>
          <w:tcPr>
            <w:tcW w:type="dxa" w:w="1020"/>
            <w:shd w:val="clear" w:color="auto" w:fill="DCFCE7"/>
          </w:tcPr>
          <w:p>
            <w:r>
              <w:rPr>
                <w:rFonts w:ascii="Arial" w:hAnsi="Arial"/>
                <w:b w:val="0"/>
                <w:i w:val="0"/>
                <w:color w:val="16A34A"/>
                <w:sz w:val="17"/>
              </w:rPr>
              <w:t>55</w:t>
            </w:r>
          </w:p>
        </w:tc>
        <w:tc>
          <w:tcPr>
            <w:tcW w:type="dxa" w:w="1020"/>
            <w:shd w:val="clear" w:color="auto" w:fill="DCFCE7"/>
          </w:tcPr>
          <w:p>
            <w:r>
              <w:rPr>
                <w:rFonts w:ascii="Arial" w:hAnsi="Arial"/>
                <w:b w:val="0"/>
                <w:i w:val="0"/>
                <w:color w:val="16A34A"/>
                <w:sz w:val="17"/>
              </w:rPr>
              <w:t>✅</w:t>
            </w:r>
          </w:p>
        </w:tc>
        <w:tc>
          <w:tcPr>
            <w:tcW w:type="dxa" w:w="1020"/>
            <w:shd w:val="clear" w:color="auto" w:fill="DCFCE7"/>
          </w:tcPr>
          <w:p>
            <w:r>
              <w:rPr>
                <w:rFonts w:ascii="Arial" w:hAnsi="Arial"/>
                <w:b w:val="0"/>
                <w:i w:val="0"/>
                <w:color w:val="16A34A"/>
                <w:sz w:val="17"/>
              </w:rPr>
              <w:t>7/9</w:t>
            </w:r>
          </w:p>
        </w:tc>
      </w:tr>
      <w:tr>
        <w:tc>
          <w:tcPr>
            <w:tcW w:type="dxa" w:w="1020"/>
            <w:shd w:val="clear" w:color="auto" w:fill="F0FDF4"/>
          </w:tcPr>
          <w:p>
            <w:r>
              <w:rPr>
                <w:rFonts w:ascii="Arial" w:hAnsi="Arial"/>
                <w:b/>
                <w:i w:val="0"/>
                <w:color w:val="16A34A"/>
                <w:sz w:val="17"/>
              </w:rPr>
              <w:t>34</w:t>
            </w:r>
          </w:p>
        </w:tc>
        <w:tc>
          <w:tcPr>
            <w:tcW w:type="dxa" w:w="1020"/>
            <w:shd w:val="clear" w:color="auto" w:fill="EFF6FF"/>
          </w:tcPr>
          <w:p>
            <w:r>
              <w:rPr>
                <w:rFonts w:ascii="Arial" w:hAnsi="Arial"/>
                <w:b/>
                <w:i w:val="0"/>
                <w:color w:val="0F2540"/>
                <w:sz w:val="17"/>
              </w:rPr>
              <w:t>CLASQUIN</w:t>
            </w:r>
          </w:p>
        </w:tc>
        <w:tc>
          <w:tcPr>
            <w:tcW w:type="dxa" w:w="1020"/>
            <w:shd w:val="clear" w:color="auto" w:fill="FAFAFA"/>
          </w:tcPr>
          <w:p>
            <w:r>
              <w:rPr>
                <w:rFonts w:ascii="Arial" w:hAnsi="Arial"/>
                <w:b w:val="0"/>
                <w:i w:val="0"/>
                <w:color w:val="333333"/>
                <w:sz w:val="17"/>
              </w:rPr>
              <w:t>Clasquin</w:t>
            </w:r>
          </w:p>
        </w:tc>
        <w:tc>
          <w:tcPr>
            <w:tcW w:type="dxa" w:w="1020"/>
            <w:shd w:val="clear" w:color="auto" w:fill="DCFCE7"/>
          </w:tcPr>
          <w:p>
            <w:r>
              <w:rPr>
                <w:rFonts w:ascii="Arial" w:hAnsi="Arial"/>
                <w:b/>
                <w:i w:val="0"/>
                <w:color w:val="16A34A"/>
                <w:sz w:val="17"/>
              </w:rPr>
              <w:t>70/100</w:t>
            </w:r>
          </w:p>
        </w:tc>
        <w:tc>
          <w:tcPr>
            <w:tcW w:type="dxa" w:w="1020"/>
            <w:shd w:val="clear" w:color="auto" w:fill="DCFCE7"/>
          </w:tcPr>
          <w:p>
            <w:r>
              <w:rPr>
                <w:rFonts w:ascii="Arial" w:hAnsi="Arial"/>
                <w:b w:val="0"/>
                <w:i w:val="0"/>
                <w:color w:val="16A34A"/>
                <w:sz w:val="17"/>
              </w:rPr>
              <w:t>36.0–46.0€</w:t>
            </w:r>
          </w:p>
        </w:tc>
        <w:tc>
          <w:tcPr>
            <w:tcW w:type="dxa" w:w="1020"/>
            <w:shd w:val="clear" w:color="auto" w:fill="FFFBEB"/>
          </w:tcPr>
          <w:p>
            <w:r>
              <w:rPr>
                <w:rFonts w:ascii="Arial" w:hAnsi="Arial"/>
                <w:b/>
                <w:i w:val="0"/>
                <w:color w:val="D97706"/>
                <w:sz w:val="17"/>
              </w:rPr>
              <w:t>1.0x</w:t>
            </w:r>
          </w:p>
        </w:tc>
        <w:tc>
          <w:tcPr>
            <w:tcW w:type="dxa" w:w="1020"/>
            <w:shd w:val="clear" w:color="auto" w:fill="DCFCE7"/>
          </w:tcPr>
          <w:p>
            <w:r>
              <w:rPr>
                <w:rFonts w:ascii="Arial" w:hAnsi="Arial"/>
                <w:b w:val="0"/>
                <w:i w:val="0"/>
                <w:color w:val="16A34A"/>
                <w:sz w:val="17"/>
              </w:rPr>
              <w:t>+11.9%</w:t>
            </w:r>
          </w:p>
        </w:tc>
        <w:tc>
          <w:tcPr>
            <w:tcW w:type="dxa" w:w="1020"/>
            <w:shd w:val="clear" w:color="auto" w:fill="DCFCE7"/>
          </w:tcPr>
          <w:p>
            <w:r>
              <w:rPr>
                <w:rFonts w:ascii="Arial" w:hAnsi="Arial"/>
                <w:b w:val="0"/>
                <w:i w:val="0"/>
                <w:color w:val="16A34A"/>
                <w:sz w:val="17"/>
              </w:rPr>
              <w:t>50</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35</w:t>
            </w:r>
          </w:p>
        </w:tc>
        <w:tc>
          <w:tcPr>
            <w:tcW w:type="dxa" w:w="1020"/>
            <w:shd w:val="clear" w:color="auto" w:fill="EFF6FF"/>
          </w:tcPr>
          <w:p>
            <w:r>
              <w:rPr>
                <w:rFonts w:ascii="Arial" w:hAnsi="Arial"/>
                <w:b/>
                <w:i w:val="0"/>
                <w:color w:val="0F2540"/>
                <w:sz w:val="17"/>
              </w:rPr>
              <w:t>ALCLF</w:t>
            </w:r>
          </w:p>
        </w:tc>
        <w:tc>
          <w:tcPr>
            <w:tcW w:type="dxa" w:w="1020"/>
            <w:shd w:val="clear" w:color="auto" w:fill="FAFAFA"/>
          </w:tcPr>
          <w:p>
            <w:r>
              <w:rPr>
                <w:rFonts w:ascii="Arial" w:hAnsi="Arial"/>
                <w:b w:val="0"/>
                <w:i w:val="0"/>
                <w:color w:val="333333"/>
                <w:sz w:val="17"/>
              </w:rPr>
              <w:t>Clasquin</w:t>
            </w:r>
          </w:p>
        </w:tc>
        <w:tc>
          <w:tcPr>
            <w:tcW w:type="dxa" w:w="1020"/>
            <w:shd w:val="clear" w:color="auto" w:fill="DCFCE7"/>
          </w:tcPr>
          <w:p>
            <w:r>
              <w:rPr>
                <w:rFonts w:ascii="Arial" w:hAnsi="Arial"/>
                <w:b/>
                <w:i w:val="0"/>
                <w:color w:val="16A34A"/>
                <w:sz w:val="17"/>
              </w:rPr>
              <w:t>70/100</w:t>
            </w:r>
          </w:p>
        </w:tc>
        <w:tc>
          <w:tcPr>
            <w:tcW w:type="dxa" w:w="1020"/>
            <w:shd w:val="clear" w:color="auto" w:fill="DCFCE7"/>
          </w:tcPr>
          <w:p>
            <w:r>
              <w:rPr>
                <w:rFonts w:ascii="Arial" w:hAnsi="Arial"/>
                <w:b w:val="0"/>
                <w:i w:val="0"/>
                <w:color w:val="16A34A"/>
                <w:sz w:val="17"/>
              </w:rPr>
              <w:t>36.0–46.0€</w:t>
            </w:r>
          </w:p>
        </w:tc>
        <w:tc>
          <w:tcPr>
            <w:tcW w:type="dxa" w:w="1020"/>
            <w:shd w:val="clear" w:color="auto" w:fill="FFFBEB"/>
          </w:tcPr>
          <w:p>
            <w:r>
              <w:rPr>
                <w:rFonts w:ascii="Arial" w:hAnsi="Arial"/>
                <w:b/>
                <w:i w:val="0"/>
                <w:color w:val="D97706"/>
                <w:sz w:val="17"/>
              </w:rPr>
              <w:t>1.0x</w:t>
            </w:r>
          </w:p>
        </w:tc>
        <w:tc>
          <w:tcPr>
            <w:tcW w:type="dxa" w:w="1020"/>
            <w:shd w:val="clear" w:color="auto" w:fill="DCFCE7"/>
          </w:tcPr>
          <w:p>
            <w:r>
              <w:rPr>
                <w:rFonts w:ascii="Arial" w:hAnsi="Arial"/>
                <w:b w:val="0"/>
                <w:i w:val="0"/>
                <w:color w:val="16A34A"/>
                <w:sz w:val="17"/>
              </w:rPr>
              <w:t>+11.9%</w:t>
            </w:r>
          </w:p>
        </w:tc>
        <w:tc>
          <w:tcPr>
            <w:tcW w:type="dxa" w:w="1020"/>
            <w:shd w:val="clear" w:color="auto" w:fill="DCFCE7"/>
          </w:tcPr>
          <w:p>
            <w:r>
              <w:rPr>
                <w:rFonts w:ascii="Arial" w:hAnsi="Arial"/>
                <w:b w:val="0"/>
                <w:i w:val="0"/>
                <w:color w:val="16A34A"/>
                <w:sz w:val="17"/>
              </w:rPr>
              <w:t>50</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r>
        <w:tc>
          <w:tcPr>
            <w:tcW w:type="dxa" w:w="1020"/>
            <w:shd w:val="clear" w:color="auto" w:fill="F0FDF4"/>
          </w:tcPr>
          <w:p>
            <w:r>
              <w:rPr>
                <w:rFonts w:ascii="Arial" w:hAnsi="Arial"/>
                <w:b/>
                <w:i w:val="0"/>
                <w:color w:val="16A34A"/>
                <w:sz w:val="17"/>
              </w:rPr>
              <w:t>36</w:t>
            </w:r>
          </w:p>
        </w:tc>
        <w:tc>
          <w:tcPr>
            <w:tcW w:type="dxa" w:w="1020"/>
            <w:shd w:val="clear" w:color="auto" w:fill="EFF6FF"/>
          </w:tcPr>
          <w:p>
            <w:r>
              <w:rPr>
                <w:rFonts w:ascii="Arial" w:hAnsi="Arial"/>
                <w:b/>
                <w:i w:val="0"/>
                <w:color w:val="0F2540"/>
                <w:sz w:val="17"/>
              </w:rPr>
              <w:t>MLCFT</w:t>
            </w:r>
          </w:p>
        </w:tc>
        <w:tc>
          <w:tcPr>
            <w:tcW w:type="dxa" w:w="1020"/>
            <w:shd w:val="clear" w:color="auto" w:fill="FAFAFA"/>
          </w:tcPr>
          <w:p>
            <w:r>
              <w:rPr>
                <w:rFonts w:ascii="Arial" w:hAnsi="Arial"/>
                <w:b w:val="0"/>
                <w:i w:val="0"/>
                <w:color w:val="333333"/>
                <w:sz w:val="17"/>
              </w:rPr>
              <w:t>Clasquin Fret</w:t>
            </w:r>
          </w:p>
        </w:tc>
        <w:tc>
          <w:tcPr>
            <w:tcW w:type="dxa" w:w="1020"/>
            <w:shd w:val="clear" w:color="auto" w:fill="DCFCE7"/>
          </w:tcPr>
          <w:p>
            <w:r>
              <w:rPr>
                <w:rFonts w:ascii="Arial" w:hAnsi="Arial"/>
                <w:b/>
                <w:i w:val="0"/>
                <w:color w:val="16A34A"/>
                <w:sz w:val="17"/>
              </w:rPr>
              <w:t>70/100</w:t>
            </w:r>
          </w:p>
        </w:tc>
        <w:tc>
          <w:tcPr>
            <w:tcW w:type="dxa" w:w="1020"/>
            <w:shd w:val="clear" w:color="auto" w:fill="DCFCE7"/>
          </w:tcPr>
          <w:p>
            <w:r>
              <w:rPr>
                <w:rFonts w:ascii="Arial" w:hAnsi="Arial"/>
                <w:b w:val="0"/>
                <w:i w:val="0"/>
                <w:color w:val="16A34A"/>
                <w:sz w:val="17"/>
              </w:rPr>
              <w:t>30.0–38.0€</w:t>
            </w:r>
          </w:p>
        </w:tc>
        <w:tc>
          <w:tcPr>
            <w:tcW w:type="dxa" w:w="1020"/>
            <w:shd w:val="clear" w:color="auto" w:fill="FFFBEB"/>
          </w:tcPr>
          <w:p>
            <w:r>
              <w:rPr>
                <w:rFonts w:ascii="Arial" w:hAnsi="Arial"/>
                <w:b/>
                <w:i w:val="0"/>
                <w:color w:val="D97706"/>
                <w:sz w:val="17"/>
              </w:rPr>
              <w:t>1.2x</w:t>
            </w:r>
          </w:p>
        </w:tc>
        <w:tc>
          <w:tcPr>
            <w:tcW w:type="dxa" w:w="1020"/>
            <w:shd w:val="clear" w:color="auto" w:fill="DCFCE7"/>
          </w:tcPr>
          <w:p>
            <w:r>
              <w:rPr>
                <w:rFonts w:ascii="Arial" w:hAnsi="Arial"/>
                <w:b w:val="0"/>
                <w:i w:val="0"/>
                <w:color w:val="16A34A"/>
                <w:sz w:val="17"/>
              </w:rPr>
              <w:t>+20.0%</w:t>
            </w:r>
          </w:p>
        </w:tc>
        <w:tc>
          <w:tcPr>
            <w:tcW w:type="dxa" w:w="1020"/>
            <w:shd w:val="clear" w:color="auto" w:fill="DCFCE7"/>
          </w:tcPr>
          <w:p>
            <w:r>
              <w:rPr>
                <w:rFonts w:ascii="Arial" w:hAnsi="Arial"/>
                <w:b w:val="0"/>
                <w:i w:val="0"/>
                <w:color w:val="16A34A"/>
                <w:sz w:val="17"/>
              </w:rPr>
              <w:t>50</w:t>
            </w:r>
          </w:p>
        </w:tc>
        <w:tc>
          <w:tcPr>
            <w:tcW w:type="dxa" w:w="1020"/>
            <w:shd w:val="clear" w:color="auto" w:fill="FFFBEB"/>
          </w:tcPr>
          <w:p>
            <w:r>
              <w:rPr>
                <w:rFonts w:ascii="Arial" w:hAnsi="Arial"/>
                <w:b w:val="0"/>
                <w:i w:val="0"/>
                <w:color w:val="D97706"/>
                <w:sz w:val="17"/>
              </w:rPr>
              <w:t>⚠️</w:t>
            </w:r>
          </w:p>
        </w:tc>
        <w:tc>
          <w:tcPr>
            <w:tcW w:type="dxa" w:w="1020"/>
            <w:shd w:val="clear" w:color="auto" w:fill="DCFCE7"/>
          </w:tcPr>
          <w:p>
            <w:r>
              <w:rPr>
                <w:rFonts w:ascii="Arial" w:hAnsi="Arial"/>
                <w:b w:val="0"/>
                <w:i w:val="0"/>
                <w:color w:val="16A34A"/>
                <w:sz w:val="17"/>
              </w:rPr>
              <w:t>8/9</w:t>
            </w:r>
          </w:p>
        </w:tc>
      </w:tr>
    </w:tbl>
    <w:p>
      <w:pPr>
        <w:spacing w:after="160"/>
      </w:pPr>
    </w:p>
    <w:tbl>
      <w:tblPr>
        <w:tblStyle w:val="TableGrid"/>
        <w:tblW w:type="auto" w:w="0"/>
        <w:tblLook w:firstColumn="1" w:firstRow="1" w:lastColumn="0" w:lastRow="0" w:noHBand="0" w:noVBand="1" w:val="04A0"/>
      </w:tblPr>
      <w:tblGrid>
        <w:gridCol w:w="10200"/>
      </w:tblGrid>
      <w:tr>
        <w:tc>
          <w:tcPr>
            <w:tcW w:type="dxa" w:w="10200"/>
            <w:shd w:val="clear" w:color="auto" w:fill="EFF6FF"/>
          </w:tcPr>
          <w:p>
            <w:pPr>
              <w:spacing w:before="100" w:after="100"/>
            </w:pPr>
            <w:r>
              <w:rPr>
                <w:rFonts w:ascii="Arial" w:hAnsi="Arial"/>
                <w:b w:val="0"/>
                <w:i w:val="0"/>
                <w:color w:val="1D4ED8"/>
                <w:sz w:val="18"/>
              </w:rPr>
              <w:t>PROTOCOLE OBLIGATOIRE avant tout achat : (1) Grade A + Score ≥ 65  (2) Cours dans zone [el-eh] ou décote ≥ 12% sur DCF  (3) Triptyque 2/3 feux verts  (4) R/R ≥ 1.5x  (5) Taille max : Grade A = 8% du PEA</w:t>
            </w:r>
          </w:p>
        </w:tc>
      </w:tr>
    </w:tbl>
    <w:p>
      <w:pPr>
        <w:spacing w:after="20"/>
      </w:pPr>
    </w:p>
    <w:p>
      <w:pPr>
        <w:spacing w:after="12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ADYEN  </w:t>
            </w:r>
            <w:r>
              <w:rPr>
                <w:rFonts w:ascii="Arial" w:hAnsi="Arial"/>
                <w:b w:val="0"/>
                <w:i w:val="0"/>
                <w:color w:val="AABBCC"/>
                <w:sz w:val="19"/>
              </w:rPr>
              <w:t>Adyen</w:t>
            </w:r>
          </w:p>
          <w:p>
            <w:r>
              <w:rPr>
                <w:rFonts w:ascii="Arial" w:hAnsi="Arial"/>
                <w:b w:val="0"/>
                <w:i w:val="0"/>
                <w:color w:val="AABBCC"/>
                <w:sz w:val="16"/>
              </w:rPr>
              <w:t>Paiements  ·  Score 95/100  ·  Zone 1050.0–1250.0€  ·  R/R 0x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890.8€  ·  Upside DCF : +51.5%</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890.8€</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1050.0€ – 1250.0€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950.0€  (-6.6%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1480.0€  (+66.1%)</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1350.0€  (upside +51.5%)</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20.0%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28.0%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0.0x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45.0x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Adyen est la meilleure plateforme paiement mondiale — une seule stack technologique pour tous les pays. L'expansion US accélère. Zéro dette, 20% ROE.</w:t>
            </w:r>
          </w:p>
        </w:tc>
        <w:tc>
          <w:tcPr>
            <w:tcW w:type="dxa" w:w="5100"/>
            <w:shd w:val="clear" w:color="auto" w:fill="FFF5F5"/>
          </w:tcPr>
          <w:p>
            <w:r>
              <w:rPr>
                <w:rFonts w:ascii="Arial" w:hAnsi="Arial"/>
                <w:b w:val="0"/>
                <w:i w:val="0"/>
                <w:color w:val="7C2C2C"/>
                <w:sz w:val="17"/>
              </w:rPr>
              <w:t>45x PE exige une exécution parfaite. Stripe prive reste un concurrent redoutable. Réglementation paiements croissante.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0x. Upside DCF +51.5%. Appliquer le protocole du dimanche avant tout passage d'ordre. Taille max : 8% du PEA. Stop loss : 950.0€.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NOVO  </w:t>
            </w:r>
            <w:r>
              <w:rPr>
                <w:rFonts w:ascii="Arial" w:hAnsi="Arial"/>
                <w:b w:val="0"/>
                <w:i w:val="0"/>
                <w:color w:val="AABBCC"/>
                <w:sz w:val="19"/>
              </w:rPr>
              <w:t>Novo Nordisk</w:t>
            </w:r>
          </w:p>
          <w:p>
            <w:r>
              <w:rPr>
                <w:rFonts w:ascii="Arial" w:hAnsi="Arial"/>
                <w:b w:val="0"/>
                <w:i w:val="0"/>
                <w:color w:val="AABBCC"/>
                <w:sz w:val="16"/>
              </w:rPr>
              <w:t>Pharma diabète/obésité  ·  Score 95/100  ·  Zone 72.0–92.0€  ·  R/R 0x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40.11€  ·  Upside DCF : +186.7%</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40.11€</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72.0€ – 92.0€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62.0€  (-54.6%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112.0€  (+179.2%)</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115.0€  (upside +186.7%)</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48.0%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35.0%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12.5%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9/9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18.0x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38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Novo Nordisk a Ozempic/Wegovy — les médicaments qui vont changer la santé mondiale. L'obésité touche 40% des adultes américains. Le pipeline GLP-1 s'étend au coeur, foie, rein. Correction de -50% = opportunité historique.</w:t>
            </w:r>
          </w:p>
        </w:tc>
        <w:tc>
          <w:tcPr>
            <w:tcW w:type="dxa" w:w="5100"/>
            <w:shd w:val="clear" w:color="auto" w:fill="FFF5F5"/>
          </w:tcPr>
          <w:p>
            <w:r>
              <w:rPr>
                <w:rFonts w:ascii="Arial" w:hAnsi="Arial"/>
                <w:b w:val="0"/>
                <w:i w:val="0"/>
                <w:color w:val="7C2C2C"/>
                <w:sz w:val="17"/>
              </w:rPr>
              <w:t>Concurrence Eli Lilly (Zepbound) s'intensifie. Problèmes de production capacité. Remboursements assurances maladie sous pression. Valorisation encore élevée malgré la baisse.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0x. Upside DCF +186.7%. Appliquer le protocole du dimanche avant tout passage d'ordre. Taille max : 8% du PEA. Stop loss : 62.0€.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SAP  </w:t>
            </w:r>
            <w:r>
              <w:rPr>
                <w:rFonts w:ascii="Arial" w:hAnsi="Arial"/>
                <w:b w:val="0"/>
                <w:i w:val="0"/>
                <w:color w:val="AABBCC"/>
                <w:sz w:val="19"/>
              </w:rPr>
              <w:t>SAP</w:t>
            </w:r>
          </w:p>
          <w:p>
            <w:r>
              <w:rPr>
                <w:rFonts w:ascii="Arial" w:hAnsi="Arial"/>
                <w:b w:val="0"/>
                <w:i w:val="0"/>
                <w:color w:val="AABBCC"/>
                <w:sz w:val="16"/>
              </w:rPr>
              <w:t>ERP cloud  ·  Score 95/100  ·  Zone 210.0–248.0€  ·  R/R 0x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144.06€  ·  Upside DCF : +79.1%</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144.06€</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210.0€ – 248.0€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188.0€  (-30.5%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272.0€  (+88.8%)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258.0€  (upside +79.1%)</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20.0%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18.0%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35.0x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58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SAP est le Microsoft de l'ERP. 440 millions d'utilisateurs ne peuvent pas changer de logiciel. La transition cloud génère de la récurrence. Éligible PEA via Xetra.</w:t>
            </w:r>
          </w:p>
        </w:tc>
        <w:tc>
          <w:tcPr>
            <w:tcW w:type="dxa" w:w="5100"/>
            <w:shd w:val="clear" w:color="auto" w:fill="FFF5F5"/>
          </w:tcPr>
          <w:p>
            <w:r>
              <w:rPr>
                <w:rFonts w:ascii="Arial" w:hAnsi="Arial"/>
                <w:b w:val="0"/>
                <w:i w:val="0"/>
                <w:color w:val="7C2C2C"/>
                <w:sz w:val="17"/>
              </w:rPr>
              <w:t>35x PE élevé. Transition cloud crée de la friction à court terme. Concurrence Oracle et Salesforce sur les nouveaux clients.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0x. Upside DCF +79.1%. Appliquer le protocole du dimanche avant tout passage d'ordre. Taille max : 8% du PEA. Stop loss : 188.0€.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INTERPARFUMS  </w:t>
            </w:r>
            <w:r>
              <w:rPr>
                <w:rFonts w:ascii="Arial" w:hAnsi="Arial"/>
                <w:b w:val="0"/>
                <w:i w:val="0"/>
                <w:color w:val="AABBCC"/>
                <w:sz w:val="19"/>
              </w:rPr>
              <w:t>Interparfums</w:t>
            </w:r>
          </w:p>
          <w:p>
            <w:r>
              <w:rPr>
                <w:rFonts w:ascii="Arial" w:hAnsi="Arial"/>
                <w:b w:val="0"/>
                <w:i w:val="0"/>
                <w:color w:val="AABBCC"/>
                <w:sz w:val="16"/>
              </w:rPr>
              <w:t>Parfums sous licence  ·  Score 95/100  ·  Zone 36.0–46.0€  ·  R/R 0x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22.22€  ·  Upside DCF : +116.0%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22.22€</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36.0€ – 46.0€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32.0€  (-44.0%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52.0€  (+134.0%)</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48.0€  (upside +116.0%)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16.0%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18.0x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Interparfums crée des parfums sous licence pour DKNY, Montblanc, Coach. Zéro dette, ROE 22%, modèle asset-light parfait.</w:t>
            </w:r>
          </w:p>
        </w:tc>
        <w:tc>
          <w:tcPr>
            <w:tcW w:type="dxa" w:w="5100"/>
            <w:shd w:val="clear" w:color="auto" w:fill="FFF5F5"/>
          </w:tcPr>
          <w:p>
            <w:r>
              <w:rPr>
                <w:rFonts w:ascii="Arial" w:hAnsi="Arial"/>
                <w:b w:val="0"/>
                <w:i w:val="0"/>
                <w:color w:val="7C2C2C"/>
                <w:sz w:val="17"/>
              </w:rPr>
              <w:t>Dépendance licences renouvelables tous 7-10 ans. Mode volatile. Exposition USD.</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0x. Upside DCF +116.0%. Appliquer le protocole du dimanche avant tout passage d'ordre. Taille max : 8% du PEA. Stop loss : 32.0€.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KZATM  </w:t>
            </w:r>
            <w:r>
              <w:rPr>
                <w:rFonts w:ascii="Arial" w:hAnsi="Arial"/>
                <w:b w:val="0"/>
                <w:i w:val="0"/>
                <w:color w:val="AABBCC"/>
                <w:sz w:val="19"/>
              </w:rPr>
              <w:t>Kazatomprom</w:t>
            </w:r>
          </w:p>
          <w:p>
            <w:r>
              <w:rPr>
                <w:rFonts w:ascii="Arial" w:hAnsi="Arial"/>
                <w:b w:val="0"/>
                <w:i w:val="0"/>
                <w:color w:val="AABBCC"/>
                <w:sz w:val="16"/>
              </w:rPr>
              <w:t>Uranium Kazakhstan  ·  Score 95/100  ·  Zone 15.5–19.5€  ·  R/R 1.3x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18.0€  ·  Upside DCF : +22.2%</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18.0€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15.5€ – 19.5€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13.5€  (25.0%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24.0€  (+33.3%)</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22.0€  (upside +22.2%)</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1.3x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35.0%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7/9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8.0x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Kazatomprom produit 40% de l uranium mondial au cout le plus bas de la planete. La renaissance du nucleaire en Europe et aux USA cree une demande structurelle que l offre ne peut pas suivre a court terme. 8.5% de dividende, ROE 22%, a 8x PE. Confirmer eligibilite PEA avec courtier.</w:t>
            </w:r>
          </w:p>
        </w:tc>
        <w:tc>
          <w:tcPr>
            <w:tcW w:type="dxa" w:w="5100"/>
            <w:shd w:val="clear" w:color="auto" w:fill="FFF5F5"/>
          </w:tcPr>
          <w:p>
            <w:r>
              <w:rPr>
                <w:rFonts w:ascii="Arial" w:hAnsi="Arial"/>
                <w:b w:val="0"/>
                <w:i w:val="0"/>
                <w:color w:val="7C2C2C"/>
                <w:sz w:val="17"/>
              </w:rPr>
              <w:t>Risque geopolitique Kazakhstan. Eligibilite PEA a confirmer selon le courtier. Expo Russie.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1.3x. Upside DCF +22.2%. Appliquer le protocole du dimanche avant tout passage d'ordre. Taille max : 8% du PEA. Stop loss : 13.5€.</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DIORCDI  </w:t>
            </w:r>
            <w:r>
              <w:rPr>
                <w:rFonts w:ascii="Arial" w:hAnsi="Arial"/>
                <w:b w:val="0"/>
                <w:i w:val="0"/>
                <w:color w:val="AABBCC"/>
                <w:sz w:val="19"/>
              </w:rPr>
              <w:t>Christian Dior</w:t>
            </w:r>
          </w:p>
          <w:p>
            <w:r>
              <w:rPr>
                <w:rFonts w:ascii="Arial" w:hAnsi="Arial"/>
                <w:b w:val="0"/>
                <w:i w:val="0"/>
                <w:color w:val="AABBCC"/>
                <w:sz w:val="16"/>
              </w:rPr>
              <w:t>Luxe holding LVMH  ·  Score 95/100  ·  Zone 595.0–680.0€  ·  R/R 0x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427.4€  ·  Upside DCF : +73.1%</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427.4€</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595.0€ – 680.0€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548.0€  (-28.2%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760.0€  (+77.8%)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740.0€  (upside +73.1%)</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24.0%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20.0%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0.8x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22.0x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48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Christian Dior est la holding de controle de LVMH (41.5%) avec une decote structurelle de 15-20% sur sa valeur de marche. Acheter Dior c est acheter LVMH moins cher. La famille Arnault a investit 85M euros en janvier 2026. La decote peut se resorber par une OPE.</w:t>
            </w:r>
          </w:p>
        </w:tc>
        <w:tc>
          <w:tcPr>
            <w:tcW w:type="dxa" w:w="5100"/>
            <w:shd w:val="clear" w:color="auto" w:fill="FFF5F5"/>
          </w:tcPr>
          <w:p>
            <w:r>
              <w:rPr>
                <w:rFonts w:ascii="Arial" w:hAnsi="Arial"/>
                <w:b w:val="0"/>
                <w:i w:val="0"/>
                <w:color w:val="7C2C2C"/>
                <w:sz w:val="17"/>
              </w:rPr>
              <w:t>Decote peut persister indefiniment. Moins liquide que LVMH. Exposition concentree.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0x. Upside DCF +73.1%. Appliquer le protocole du dimanche avant tout passage d'ordre. Taille max : 8% du PEA. Stop loss : 548.0€.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MLJR  </w:t>
            </w:r>
            <w:r>
              <w:rPr>
                <w:rFonts w:ascii="Arial" w:hAnsi="Arial"/>
                <w:b w:val="0"/>
                <w:i w:val="0"/>
                <w:color w:val="AABBCC"/>
                <w:sz w:val="19"/>
              </w:rPr>
              <w:t>Jean Rousseau</w:t>
            </w:r>
          </w:p>
          <w:p>
            <w:r>
              <w:rPr>
                <w:rFonts w:ascii="Arial" w:hAnsi="Arial"/>
                <w:b w:val="0"/>
                <w:i w:val="0"/>
                <w:color w:val="AABBCC"/>
                <w:sz w:val="16"/>
              </w:rPr>
              <w:t>Maroquinerie bracelets montres  ·  Score 95/100  ·  Zone 74.0–92.0€  ·  R/R 1.3x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85.0€  ·  Upside DCF : +20.0%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85.0€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74.0€ – 92.0€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67.0€  (21.2%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108.0€  (+27.1%)</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102.0€  (upside +20.0%)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1.3x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25.0%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17.0%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Jean Rousseau fournit les bracelets cuir et bracelet metal des montres de luxe (Rolex, Patek Philippe, Cartier). ROE 25%, marges 17%, zero dette. Chaque montre de luxe vendue necessite le remplacement du bracelet tous les 3-5 ans. Savoir-faire parisien 170 ans impossible a reproduire.</w:t>
            </w:r>
          </w:p>
        </w:tc>
        <w:tc>
          <w:tcPr>
            <w:tcW w:type="dxa" w:w="5100"/>
            <w:shd w:val="clear" w:color="auto" w:fill="FFF5F5"/>
          </w:tcPr>
          <w:p>
            <w:r>
              <w:rPr>
                <w:rFonts w:ascii="Arial" w:hAnsi="Arial"/>
                <w:b w:val="0"/>
                <w:i w:val="0"/>
                <w:color w:val="7C2C2C"/>
                <w:sz w:val="17"/>
              </w:rPr>
              <w:t>Microcap tres peu liquide. Dependance a quelques grandes marques horlogeres. Cyclicite luxe.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1.3x. Upside DCF +20.0%. Appliquer le protocole du dimanche avant tout passage d'ordre. Taille max : 8% du PEA. Stop loss : 67.0€.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INTPRF  </w:t>
            </w:r>
            <w:r>
              <w:rPr>
                <w:rFonts w:ascii="Arial" w:hAnsi="Arial"/>
                <w:b w:val="0"/>
                <w:i w:val="0"/>
                <w:color w:val="AABBCC"/>
                <w:sz w:val="19"/>
              </w:rPr>
              <w:t>Interparfums</w:t>
            </w:r>
          </w:p>
          <w:p>
            <w:r>
              <w:rPr>
                <w:rFonts w:ascii="Arial" w:hAnsi="Arial"/>
                <w:b w:val="0"/>
                <w:i w:val="0"/>
                <w:color w:val="AABBCC"/>
                <w:sz w:val="16"/>
              </w:rPr>
              <w:t>Licences parfums luxe  ·  Score 95/100  ·  Zone 45.0–56.0€  ·  R/R 0x</w:t>
            </w:r>
          </w:p>
        </w:tc>
        <w:tc>
          <w:tcPr>
            <w:tcW w:type="dxa" w:w="5100"/>
            <w:shd w:val="clear" w:color="auto" w:fill="065F46"/>
          </w:tcPr>
          <w:p>
            <w:pPr>
              <w:jc w:val="right"/>
            </w:pPr>
            <w:r>
              <w:rPr>
                <w:rFonts w:ascii="Arial" w:hAnsi="Arial"/>
                <w:b/>
                <w:i w:val="0"/>
                <w:color w:val="F0D080"/>
                <w:sz w:val="44"/>
              </w:rPr>
              <w:t xml:space="preserve">95/100  </w:t>
            </w:r>
          </w:p>
          <w:p>
            <w:pPr>
              <w:jc w:val="right"/>
            </w:pPr>
            <w:r>
              <w:rPr>
                <w:rFonts w:ascii="Arial" w:hAnsi="Arial"/>
                <w:b w:val="0"/>
                <w:i w:val="0"/>
                <w:color w:val="AABBCC"/>
                <w:sz w:val="18"/>
              </w:rPr>
              <w:t>Cours : 22.22€  ·  Upside DCF : +179.0%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22.22€</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45.0€ – 56.0€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40.0€  (-80.0%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65.0€  (+192.5%)</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62.0€  (upside +179.0%)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16.0%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0.1x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16.0x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Interparfums cree et distribue les parfums sous licence de grandes marques (Karl Lagerfeld, Lanvin, MCM). Zero dette, ROE 22%, Piotroski 8/9. Le modele asset-light (licence = pas d usine) genere des rendements exceptionnels. L Inde et l Asie sont les nouveaux eldorados du parfum premium.</w:t>
            </w:r>
          </w:p>
        </w:tc>
        <w:tc>
          <w:tcPr>
            <w:tcW w:type="dxa" w:w="5100"/>
            <w:shd w:val="clear" w:color="auto" w:fill="FFF5F5"/>
          </w:tcPr>
          <w:p>
            <w:r>
              <w:rPr>
                <w:rFonts w:ascii="Arial" w:hAnsi="Arial"/>
                <w:b w:val="0"/>
                <w:i w:val="0"/>
                <w:color w:val="7C2C2C"/>
                <w:sz w:val="17"/>
              </w:rPr>
              <w:t>Risque non-renouvellement des licences. Devise dollar. Marque peut perdre en desirabilite.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95/100 + en zone d'achat. R/R 0x. Upside DCF +179.0%. Appliquer le protocole du dimanche avant tout passage d'ordre. Taille max : 8% du PEA. Stop loss : 40.0€.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RMS  </w:t>
            </w:r>
            <w:r>
              <w:rPr>
                <w:rFonts w:ascii="Arial" w:hAnsi="Arial"/>
                <w:b w:val="0"/>
                <w:i w:val="0"/>
                <w:color w:val="AABBCC"/>
                <w:sz w:val="19"/>
              </w:rPr>
              <w:t>Hermès</w:t>
            </w:r>
          </w:p>
          <w:p>
            <w:r>
              <w:rPr>
                <w:rFonts w:ascii="Arial" w:hAnsi="Arial"/>
                <w:b w:val="0"/>
                <w:i w:val="0"/>
                <w:color w:val="AABBCC"/>
                <w:sz w:val="16"/>
              </w:rPr>
              <w:t>Luxe  ·  Score 90/100  ·  Zone 1520.0–1720.0€  ·  R/R 1.9x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1575.5€  ·  Upside DCF : +26.9%</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1575.5€</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1520.0€ – 1720.0€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1380.0€  (12.4%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1950.0€  (+23.8%)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2000.0€  (upside +26.9%)</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1.9x  ✅ favorable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36.0%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42.0%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10.5%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9/9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0.0x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50.0x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48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Hermès est l'actif le plus unique de la bourse mondiale. 42% de marge, zéro dette, famille aux commandes depuis 6 générations. La liste d'attente Birkin immunise contre les cycles.</w:t>
            </w:r>
          </w:p>
        </w:tc>
        <w:tc>
          <w:tcPr>
            <w:tcW w:type="dxa" w:w="5100"/>
            <w:shd w:val="clear" w:color="auto" w:fill="FFF5F5"/>
          </w:tcPr>
          <w:p>
            <w:r>
              <w:rPr>
                <w:rFonts w:ascii="Arial" w:hAnsi="Arial"/>
                <w:b w:val="0"/>
                <w:i w:val="0"/>
                <w:color w:val="7C2C2C"/>
                <w:sz w:val="17"/>
              </w:rPr>
              <w:t>50x PE ne permet aucune erreur. Risque succession familiale. Contrefaçon croissante en Asie.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1.9x. Upside DCF +26.9%. Appliquer le protocole du dimanche avant tout passage d'ordre. Taille max : 8% du PEA. Stop loss : 1380.0€.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SU  </w:t>
            </w:r>
            <w:r>
              <w:rPr>
                <w:rFonts w:ascii="Arial" w:hAnsi="Arial"/>
                <w:b w:val="0"/>
                <w:i w:val="0"/>
                <w:color w:val="AABBCC"/>
                <w:sz w:val="19"/>
              </w:rPr>
              <w:t>Schneider Electric</w:t>
            </w:r>
          </w:p>
          <w:p>
            <w:r>
              <w:rPr>
                <w:rFonts w:ascii="Arial" w:hAnsi="Arial"/>
                <w:b w:val="0"/>
                <w:i w:val="0"/>
                <w:color w:val="AABBCC"/>
                <w:sz w:val="16"/>
              </w:rPr>
              <w:t>Énergie &amp; Automatisation  ·  Score 90/100  ·  Zone 235.0–278.0€  ·  R/R 0.8x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263.75€  ·  Upside DCF : +19.4%</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263.75€</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235.0€ – 278.0€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210.0€  (20.4%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305.0€  (+15.6%)</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315.0€  (upside +19.4%)</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0.8x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26.0%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15.0%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1.0x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28.0x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58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Schneider est au centre de trois mégatendances : électrification, digitalisation, data centers IA. La demande data centers double tous les 4 ans.</w:t>
            </w:r>
          </w:p>
        </w:tc>
        <w:tc>
          <w:tcPr>
            <w:tcW w:type="dxa" w:w="5100"/>
            <w:shd w:val="clear" w:color="auto" w:fill="FFF5F5"/>
          </w:tcPr>
          <w:p>
            <w:r>
              <w:rPr>
                <w:rFonts w:ascii="Arial" w:hAnsi="Arial"/>
                <w:b w:val="0"/>
                <w:i w:val="0"/>
                <w:color w:val="7C2C2C"/>
                <w:sz w:val="17"/>
              </w:rPr>
              <w:t>Valorisation premium. Forte exposition USD. Concurrence ABB et Siemens sur les segments IA.</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0.8x. Upside DCF +19.4%. Appliquer le protocole du dimanche avant tout passage d'ordre. Taille max : 8% du PEA. Stop loss : 210.0€.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LR  </w:t>
            </w:r>
            <w:r>
              <w:rPr>
                <w:rFonts w:ascii="Arial" w:hAnsi="Arial"/>
                <w:b w:val="0"/>
                <w:i w:val="0"/>
                <w:color w:val="AABBCC"/>
                <w:sz w:val="19"/>
              </w:rPr>
              <w:t>Legrand</w:t>
            </w:r>
          </w:p>
          <w:p>
            <w:r>
              <w:rPr>
                <w:rFonts w:ascii="Arial" w:hAnsi="Arial"/>
                <w:b w:val="0"/>
                <w:i w:val="0"/>
                <w:color w:val="AABBCC"/>
                <w:sz w:val="16"/>
              </w:rPr>
              <w:t>Électricité bâtiment  ·  Score 90/100  ·  Zone 132.0–158.0€  ·  R/R 0.6x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152.1€  ·  Upside DCF : +13.1%</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152.1€</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132.0€ – 158.0€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118.0€  (22.4%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172.0€  (+13.1%)</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172.0€  (upside +13.1%)</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0.6x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18.0%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1.2x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24.0x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Legrand — 24 années de hausse du BPA. Data centers = 25% du CA croissant à 20%/an. Famille aux commandes = alignement parfait.</w:t>
            </w:r>
          </w:p>
        </w:tc>
        <w:tc>
          <w:tcPr>
            <w:tcW w:type="dxa" w:w="5100"/>
            <w:shd w:val="clear" w:color="auto" w:fill="FFF5F5"/>
          </w:tcPr>
          <w:p>
            <w:r>
              <w:rPr>
                <w:rFonts w:ascii="Arial" w:hAnsi="Arial"/>
                <w:b w:val="0"/>
                <w:i w:val="0"/>
                <w:color w:val="7C2C2C"/>
                <w:sz w:val="17"/>
              </w:rPr>
              <w:t>Valorisation premium. Exposition bâtiment résidentiel qui souffre des taux.</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0.6x. Upside DCF +13.1%. Appliquer le protocole du dimanche avant tout passage d'ordre. Taille max : 8% du PEA. Stop loss : 118.0€.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ABCA  </w:t>
            </w:r>
            <w:r>
              <w:rPr>
                <w:rFonts w:ascii="Arial" w:hAnsi="Arial"/>
                <w:b w:val="0"/>
                <w:i w:val="0"/>
                <w:color w:val="AABBCC"/>
                <w:sz w:val="19"/>
              </w:rPr>
              <w:t>ABC Arbitrage</w:t>
            </w:r>
          </w:p>
          <w:p>
            <w:r>
              <w:rPr>
                <w:rFonts w:ascii="Arial" w:hAnsi="Arial"/>
                <w:b w:val="0"/>
                <w:i w:val="0"/>
                <w:color w:val="AABBCC"/>
                <w:sz w:val="16"/>
              </w:rPr>
              <w:t>Arbitrage  ·  Score 90/100  ·  Zone 6.0–7.2€  ·  R/R 1.1x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6.8€  ·  Upside DCF : +10.3%</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6.8€</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6.0€ – 7.2€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5.5€  (19.1%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8.2€  (+20.6%)</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7.5€  (upside +10.3%)</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1.1x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25.0%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35.0%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0.0x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10.0x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ABC Arbitrage : 25% de ROE, zéro dette, 7.2% de dividende. Les algorithmes fonctionnent mieux en période de volatilité élevée — et 2026 sera volatile.</w:t>
            </w:r>
          </w:p>
        </w:tc>
        <w:tc>
          <w:tcPr>
            <w:tcW w:type="dxa" w:w="5100"/>
            <w:shd w:val="clear" w:color="auto" w:fill="FFF5F5"/>
          </w:tcPr>
          <w:p>
            <w:r>
              <w:rPr>
                <w:rFonts w:ascii="Arial" w:hAnsi="Arial"/>
                <w:b w:val="0"/>
                <w:i w:val="0"/>
                <w:color w:val="7C2C2C"/>
                <w:sz w:val="17"/>
              </w:rPr>
              <w:t>Modèle opaque. Très peu liquide. Dépend de la volatilité pour performer.</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1.1x. Upside DCF +10.3%. Appliquer le protocole du dimanche avant tout passage d'ordre. Taille max : 8% du PEA. Stop loss : 5.5€.</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HO  </w:t>
            </w:r>
            <w:r>
              <w:rPr>
                <w:rFonts w:ascii="Arial" w:hAnsi="Arial"/>
                <w:b w:val="0"/>
                <w:i w:val="0"/>
                <w:color w:val="AABBCC"/>
                <w:sz w:val="19"/>
              </w:rPr>
              <w:t>Thales</w:t>
            </w:r>
          </w:p>
          <w:p>
            <w:r>
              <w:rPr>
                <w:rFonts w:ascii="Arial" w:hAnsi="Arial"/>
                <w:b w:val="0"/>
                <w:i w:val="0"/>
                <w:color w:val="AABBCC"/>
                <w:sz w:val="16"/>
              </w:rPr>
              <w:t>Défense &amp; Technologie  ·  Score 90/100  ·  Zone 228.0–268.0€  ·  R/R 5.2x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219.4€  ·  Upside DCF : +39.0%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219.4€</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228.0€ – 268.0€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205.0€  (6.6%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295.0€  (+34.5%)</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305.0€  (upside +39.0%)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5.2x  ✅ excellent</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11.0%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1.2x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22.0x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58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Thales est le bénéficiaire direct du réarmement européen post-Ukraine. Cybersécurité + défense = deux mégatendances simultanées. Carnet de commandes record.</w:t>
            </w:r>
          </w:p>
        </w:tc>
        <w:tc>
          <w:tcPr>
            <w:tcW w:type="dxa" w:w="5100"/>
            <w:shd w:val="clear" w:color="auto" w:fill="FFF5F5"/>
          </w:tcPr>
          <w:p>
            <w:r>
              <w:rPr>
                <w:rFonts w:ascii="Arial" w:hAnsi="Arial"/>
                <w:b w:val="0"/>
                <w:i w:val="0"/>
                <w:color w:val="7C2C2C"/>
                <w:sz w:val="17"/>
              </w:rPr>
              <w:t>Exposition exportations gouvernementales. Valorisation déjà bien pricée à 22x PE.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5.2x. Upside DCF +39.0%. Appliquer le protocole du dimanche avant tout passage d'ordre. Taille max : 8% du PEA. Stop loss : 205.0€.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ALFPC  </w:t>
            </w:r>
            <w:r>
              <w:rPr>
                <w:rFonts w:ascii="Arial" w:hAnsi="Arial"/>
                <w:b w:val="0"/>
                <w:i w:val="0"/>
                <w:color w:val="AABBCC"/>
                <w:sz w:val="19"/>
              </w:rPr>
              <w:t>Fountaine Pajot</w:t>
            </w:r>
          </w:p>
          <w:p>
            <w:r>
              <w:rPr>
                <w:rFonts w:ascii="Arial" w:hAnsi="Arial"/>
                <w:b w:val="0"/>
                <w:i w:val="0"/>
                <w:color w:val="AABBCC"/>
                <w:sz w:val="16"/>
              </w:rPr>
              <w:t>Catamarans voiliers  ·  Score 90/100  ·  Zone 82.0–96.0€  ·  R/R 1.3x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88.9€  ·  Upside DCF : +74.4%</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88.9€</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82.0€ – 96.0€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74.0€  (16.8%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108.0€  (+21.5%)</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155.0€  (upside +74.4%)</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1.3x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24.0%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12.0%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12.0x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Fountaine Pajot est le numero 1 mondial des catamarans a voile. Carnet de commandes plein 3 ans, ROE 24%, zero dette, famille fondatrice. Le nautisme premium croit de 8%/an structurellement sur la montee des classes moyennes mondiales.</w:t>
            </w:r>
          </w:p>
        </w:tc>
        <w:tc>
          <w:tcPr>
            <w:tcW w:type="dxa" w:w="5100"/>
            <w:shd w:val="clear" w:color="auto" w:fill="FFF5F5"/>
          </w:tcPr>
          <w:p>
            <w:r>
              <w:rPr>
                <w:rFonts w:ascii="Arial" w:hAnsi="Arial"/>
                <w:b w:val="0"/>
                <w:i w:val="0"/>
                <w:color w:val="7C2C2C"/>
                <w:sz w:val="17"/>
              </w:rPr>
              <w:t>Cyclicite loisirs premium. Expo devises (ventes en dollars). Carnet sensible aux annulations si recession.</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1.3x. Upside DCF +74.4%. Appliquer le protocole du dimanche avant tout passage d'ordre. Taille max : 8% du PEA. Stop loss : 74.0€.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LACBX  </w:t>
            </w:r>
            <w:r>
              <w:rPr>
                <w:rFonts w:ascii="Arial" w:hAnsi="Arial"/>
                <w:b w:val="0"/>
                <w:i w:val="0"/>
                <w:color w:val="AABBCC"/>
                <w:sz w:val="19"/>
              </w:rPr>
              <w:t>Lacroix Defense</w:t>
            </w:r>
          </w:p>
          <w:p>
            <w:r>
              <w:rPr>
                <w:rFonts w:ascii="Arial" w:hAnsi="Arial"/>
                <w:b w:val="0"/>
                <w:i w:val="0"/>
                <w:color w:val="AABBCC"/>
                <w:sz w:val="16"/>
              </w:rPr>
              <w:t>Pyrotechnie defense  ·  Score 90/100  ·  Zone 74.0–92.0€  ·  R/R 0x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16.8€  ·  Upside DCF : +483.3%</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16.8€</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74.0€ – 92.0€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67.0€  (-298.8%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108.0€  (+542.9%)</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98.0€  (upside +483.3%)</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20.0%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11.0%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Lacroix Defense est le specialiste francais de la pyrotechnie militaire — fusees eclairantes, leurres, artifices de defense. Avec la hausse des budgets de defense EU, ses commandes explosent. ROE 20%, famille aux commandes depuis 1894. Un beau dossier defense meconnu.</w:t>
            </w:r>
          </w:p>
        </w:tc>
        <w:tc>
          <w:tcPr>
            <w:tcW w:type="dxa" w:w="5100"/>
            <w:shd w:val="clear" w:color="auto" w:fill="FFF5F5"/>
          </w:tcPr>
          <w:p>
            <w:r>
              <w:rPr>
                <w:rFonts w:ascii="Arial" w:hAnsi="Arial"/>
                <w:b w:val="0"/>
                <w:i w:val="0"/>
                <w:color w:val="7C2C2C"/>
                <w:sz w:val="17"/>
              </w:rPr>
              <w:t>Risque accident industriel. Reglementation export stricte. Peu liquide.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0x. Upside DCF +483.3%. Appliquer le protocole du dimanche avant tout passage d'ordre. Taille max : 8% du PEA. Stop loss : 67.0€.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ESCAP  </w:t>
            </w:r>
            <w:r>
              <w:rPr>
                <w:rFonts w:ascii="Arial" w:hAnsi="Arial"/>
                <w:b w:val="0"/>
                <w:i w:val="0"/>
                <w:color w:val="AABBCC"/>
                <w:sz w:val="19"/>
              </w:rPr>
              <w:t>Esker SA</w:t>
            </w:r>
          </w:p>
          <w:p>
            <w:r>
              <w:rPr>
                <w:rFonts w:ascii="Arial" w:hAnsi="Arial"/>
                <w:b w:val="0"/>
                <w:i w:val="0"/>
                <w:color w:val="AABBCC"/>
                <w:sz w:val="16"/>
              </w:rPr>
              <w:t>SaaS dematerialisation  ·  Score 90/100  ·  Zone 165.0–200.0€  ·  R/R 1.2x</w:t>
            </w:r>
          </w:p>
        </w:tc>
        <w:tc>
          <w:tcPr>
            <w:tcW w:type="dxa" w:w="5100"/>
            <w:shd w:val="clear" w:color="auto" w:fill="065F46"/>
          </w:tcPr>
          <w:p>
            <w:pPr>
              <w:jc w:val="right"/>
            </w:pPr>
            <w:r>
              <w:rPr>
                <w:rFonts w:ascii="Arial" w:hAnsi="Arial"/>
                <w:b/>
                <w:i w:val="0"/>
                <w:color w:val="F0D080"/>
                <w:sz w:val="44"/>
              </w:rPr>
              <w:t xml:space="preserve">90/100  </w:t>
            </w:r>
          </w:p>
          <w:p>
            <w:pPr>
              <w:jc w:val="right"/>
            </w:pPr>
            <w:r>
              <w:rPr>
                <w:rFonts w:ascii="Arial" w:hAnsi="Arial"/>
                <w:b w:val="0"/>
                <w:i w:val="0"/>
                <w:color w:val="AABBCC"/>
                <w:sz w:val="18"/>
              </w:rPr>
              <w:t>Cours : 185.0€  ·  Upside DCF : +12.4%</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185.0€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165.0€ – 200.0€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148.0€  (20.0%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228.0€  (+23.2%)</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208.0€  (upside +12.4%)</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1.2x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20.0%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16.0%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35.0x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90/100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Esker est le leader mondial de la dematerialisation des processus Order-to-Cash et Procure-to-Pay. La directive EU sur la facturation electronique obligatoire est un catalyseur massif — chaque PME doit equiper ses processus d ici fin 2026. ROE 20%, Piotroski 8/9, CEO a achete 4.5M euros.</w:t>
            </w:r>
          </w:p>
        </w:tc>
        <w:tc>
          <w:tcPr>
            <w:tcW w:type="dxa" w:w="5100"/>
            <w:shd w:val="clear" w:color="auto" w:fill="FFF5F5"/>
          </w:tcPr>
          <w:p>
            <w:r>
              <w:rPr>
                <w:rFonts w:ascii="Arial" w:hAnsi="Arial"/>
                <w:b w:val="0"/>
                <w:i w:val="0"/>
                <w:color w:val="7C2C2C"/>
                <w:sz w:val="17"/>
              </w:rPr>
              <w:t>Valorisation 35x PE premium. SAP et Oracle attaquent avec des modules natifs.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90/100 + en zone d'achat. R/R 1.2x. Upside DCF +12.4%. Appliquer le protocole du dimanche avant tout passage d'ordre. Taille max : 8% du PEA. Stop loss : 148.0€.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OR  </w:t>
            </w:r>
            <w:r>
              <w:rPr>
                <w:rFonts w:ascii="Arial" w:hAnsi="Arial"/>
                <w:b w:val="0"/>
                <w:i w:val="0"/>
                <w:color w:val="AABBCC"/>
                <w:sz w:val="19"/>
              </w:rPr>
            </w:r>
          </w:p>
          <w:p>
            <w:r>
              <w:rPr>
                <w:rFonts w:ascii="Arial" w:hAnsi="Arial"/>
                <w:b w:val="0"/>
                <w:i w:val="0"/>
                <w:color w:val="AABBCC"/>
                <w:sz w:val="16"/>
              </w:rPr>
              <w:t>Cosmétiques  ·  Score 85/100  ·  Zone 315.0–375.0€  ·  R/R 0.7x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357.1€  ·  Upside DCF : +12.0%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357.1€</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315.0€ – 375.0€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278.0€  (22.2%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410.0€  (+14.8%)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400.0€  (upside +12.0%)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0.7x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19.0%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9/9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32.0x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42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L'Oréal capte la montée en gamme mondiale. Aucun concurrent ne combine R&amp;D dermatologique, distribution omnicanale et 37 marques couvrant tous les segments.</w:t>
            </w:r>
          </w:p>
        </w:tc>
        <w:tc>
          <w:tcPr>
            <w:tcW w:type="dxa" w:w="5100"/>
            <w:shd w:val="clear" w:color="auto" w:fill="FFF5F5"/>
          </w:tcPr>
          <w:p>
            <w:r>
              <w:rPr>
                <w:rFonts w:ascii="Arial" w:hAnsi="Arial"/>
                <w:b w:val="0"/>
                <w:i w:val="0"/>
                <w:color w:val="7C2C2C"/>
                <w:sz w:val="17"/>
              </w:rPr>
              <w:t>32x PE pour une croissance qui ralentit. La Chine déçoit. Marques DTC gagnent des parts.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0.7x. Upside DCF +12.0%. Appliquer le protocole du dimanche avant tout passage d'ordre. Taille max : 8% du PEA. Stop loss : 278.0€.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MLNMG  </w:t>
            </w:r>
            <w:r>
              <w:rPr>
                <w:rFonts w:ascii="Arial" w:hAnsi="Arial"/>
                <w:b w:val="0"/>
                <w:i w:val="0"/>
                <w:color w:val="AABBCC"/>
                <w:sz w:val="19"/>
              </w:rPr>
              <w:t>NMG Group</w:t>
            </w:r>
          </w:p>
          <w:p>
            <w:r>
              <w:rPr>
                <w:rFonts w:ascii="Arial" w:hAnsi="Arial"/>
                <w:b w:val="0"/>
                <w:i w:val="0"/>
                <w:color w:val="AABBCC"/>
                <w:sz w:val="16"/>
              </w:rPr>
              <w:t>Luxe &amp; Mode  ·  Score 85/100  ·  Zone 76.0–92.0€  ·  R/R 1.2x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85.0€  ·  Upside DCF : +11.8%</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85.0€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76.0€ – 92.0€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68.0€  (20.0%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105.0€  (+23.5%)</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95.0€  (upside +11.8%)</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1.2x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20.0%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12.0%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NMG est une pépite mode premium non couverte par les analystes. 20% de ROE, zéro dette, famille aux commandes.</w:t>
            </w:r>
          </w:p>
        </w:tc>
        <w:tc>
          <w:tcPr>
            <w:tcW w:type="dxa" w:w="5100"/>
            <w:shd w:val="clear" w:color="auto" w:fill="FFF5F5"/>
          </w:tcPr>
          <w:p>
            <w:r>
              <w:rPr>
                <w:rFonts w:ascii="Arial" w:hAnsi="Arial"/>
                <w:b w:val="0"/>
                <w:i w:val="0"/>
                <w:color w:val="7C2C2C"/>
                <w:sz w:val="17"/>
              </w:rPr>
              <w:t>Très illiquide. Taille insuffisante pour les institutionnels. Visibilité limitée.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1.2x. Upside DCF +11.8%. Appliquer le protocole du dimanche avant tout passage d'ordre. Taille max : 8% du PEA. Stop loss : 68.0€.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LVMHF  </w:t>
            </w:r>
            <w:r>
              <w:rPr>
                <w:rFonts w:ascii="Arial" w:hAnsi="Arial"/>
                <w:b w:val="0"/>
                <w:i w:val="0"/>
                <w:color w:val="AABBCC"/>
                <w:sz w:val="19"/>
              </w:rPr>
              <w:t>Ferrari SpA</w:t>
            </w:r>
          </w:p>
          <w:p>
            <w:r>
              <w:rPr>
                <w:rFonts w:ascii="Arial" w:hAnsi="Arial"/>
                <w:b w:val="0"/>
                <w:i w:val="0"/>
                <w:color w:val="AABBCC"/>
                <w:sz w:val="16"/>
              </w:rPr>
              <w:t>Luxe automobile  ·  Score 85/100  ·  Zone 325.0–375.0€  ·  R/R 1.1x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355.0€  ·  Upside DCF : +11.3%</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355.0€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325.0€ – 375.0€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298.0€  (16.1%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420.0€  (+18.3%)</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395.0€  (upside +11.3%)</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1.1x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42.0%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24.0%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9.2%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9/9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45.0x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50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Ferrari est Hermès sur roues. 45x PE pour une société qui produit intentionnellement moins que la demande. Liste d'attente 2 ans = pricing power illimité. Éligible PEA via Bourse de Milan.</w:t>
            </w:r>
          </w:p>
        </w:tc>
        <w:tc>
          <w:tcPr>
            <w:tcW w:type="dxa" w:w="5100"/>
            <w:shd w:val="clear" w:color="auto" w:fill="FFF5F5"/>
          </w:tcPr>
          <w:p>
            <w:r>
              <w:rPr>
                <w:rFonts w:ascii="Arial" w:hAnsi="Arial"/>
                <w:b w:val="0"/>
                <w:i w:val="0"/>
                <w:color w:val="7C2C2C"/>
                <w:sz w:val="17"/>
              </w:rPr>
              <w:t>45x PE n'accepte aucune erreur. Régulation VE européenne. Cyclicité luxe si récession sévère.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1.1x. Upside DCF +11.3%. Appliquer le protocole du dimanche avant tout passage d'ordre. Taille max : 8% du PEA. Stop loss : 298.0€.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ENVEA  </w:t>
            </w:r>
            <w:r>
              <w:rPr>
                <w:rFonts w:ascii="Arial" w:hAnsi="Arial"/>
                <w:b w:val="0"/>
                <w:i w:val="0"/>
                <w:color w:val="AABBCC"/>
                <w:sz w:val="19"/>
              </w:rPr>
              <w:t>Envea</w:t>
            </w:r>
          </w:p>
          <w:p>
            <w:r>
              <w:rPr>
                <w:rFonts w:ascii="Arial" w:hAnsi="Arial"/>
                <w:b w:val="0"/>
                <w:i w:val="0"/>
                <w:color w:val="AABBCC"/>
                <w:sz w:val="16"/>
              </w:rPr>
              <w:t>Mesure pollution  ·  Score 85/100  ·  Zone 48.0–60.0€  ·  R/R 1.1x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55.0€  ·  Upside DCF : +12.7%</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55.0€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48.0€ – 60.0€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43.0€  (21.8%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68.0€  (+23.6%)</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62.0€  (upside +12.7%)</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1.1x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20.0%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14.0%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8.0%</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0.3x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18.0x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Envea fabrique les instruments qui mesurent la pollution de l air, de l eau et du sol. Le Green Deal EU oblige chaque industriel a equiper ses sites. C est une rente reglementaire — personne ne mesure sa pollution volontairement. ROE 20%, Piotroski 8/9. Une pepite meconnue.</w:t>
            </w:r>
          </w:p>
        </w:tc>
        <w:tc>
          <w:tcPr>
            <w:tcW w:type="dxa" w:w="5100"/>
            <w:shd w:val="clear" w:color="auto" w:fill="FFF5F5"/>
          </w:tcPr>
          <w:p>
            <w:r>
              <w:rPr>
                <w:rFonts w:ascii="Arial" w:hAnsi="Arial"/>
                <w:b w:val="0"/>
                <w:i w:val="0"/>
                <w:color w:val="7C2C2C"/>
                <w:sz w:val="17"/>
              </w:rPr>
              <w:t>Taille limitee. Si la reglementation se relache, la demande baisse. Peu liquide.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1.1x. Upside DCF +12.7%. Appliquer le protocole du dimanche avant tout passage d'ordre. Taille max : 8% du PEA. Stop loss : 43.0€.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ITRLN  </w:t>
            </w:r>
            <w:r>
              <w:rPr>
                <w:rFonts w:ascii="Arial" w:hAnsi="Arial"/>
                <w:b w:val="0"/>
                <w:i w:val="0"/>
                <w:color w:val="AABBCC"/>
                <w:sz w:val="19"/>
              </w:rPr>
              <w:t>Interroll</w:t>
            </w:r>
          </w:p>
          <w:p>
            <w:r>
              <w:rPr>
                <w:rFonts w:ascii="Arial" w:hAnsi="Arial"/>
                <w:b w:val="0"/>
                <w:i w:val="0"/>
                <w:color w:val="AABBCC"/>
                <w:sz w:val="16"/>
              </w:rPr>
              <w:t>Logistique conveyor  ·  Score 85/100  ·  Zone 1980.0–2420.0€  ·  R/R 1.0x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2250.0€  ·  Upside DCF : +12.0%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2250.0€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1980.0€ – 2420.0€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1780.0€  (20.9%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2720.0€  (+20.9%)</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2520.0€  (upside +12.0%)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20.0%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14.0%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0.3x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28.0x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Interroll fabrique les systemes de convoyage et de tri dans les entrepots d e-commerce d Amazon, UPS et DHL. Chaque colis commande en ligne passe sur ses equipements. La croissance du e-commerce est sa croissance. ROE 20% constant, famille suisse depuis 1959.</w:t>
            </w:r>
          </w:p>
        </w:tc>
        <w:tc>
          <w:tcPr>
            <w:tcW w:type="dxa" w:w="5100"/>
            <w:shd w:val="clear" w:color="auto" w:fill="FFF5F5"/>
          </w:tcPr>
          <w:p>
            <w:r>
              <w:rPr>
                <w:rFonts w:ascii="Arial" w:hAnsi="Arial"/>
                <w:b w:val="0"/>
                <w:i w:val="0"/>
                <w:color w:val="7C2C2C"/>
                <w:sz w:val="17"/>
              </w:rPr>
              <w:t>Valorisation premium 28x PE. Cyclicite e-commerce. Coté SIX Zurich — eligibilite PEA a confirmer.</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1.0x. Upside DCF +12.0%. Appliquer le protocole du dimanche avant tout passage d'ordre. Taille max : 8% du PEA. Stop loss : 1780.0€.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ALIDS  </w:t>
            </w:r>
            <w:r>
              <w:rPr>
                <w:rFonts w:ascii="Arial" w:hAnsi="Arial"/>
                <w:b w:val="0"/>
                <w:i w:val="0"/>
                <w:color w:val="AABBCC"/>
                <w:sz w:val="19"/>
              </w:rPr>
              <w:t>IDS Defense</w:t>
            </w:r>
          </w:p>
          <w:p>
            <w:r>
              <w:rPr>
                <w:rFonts w:ascii="Arial" w:hAnsi="Arial"/>
                <w:b w:val="0"/>
                <w:i w:val="0"/>
                <w:color w:val="AABBCC"/>
                <w:sz w:val="16"/>
              </w:rPr>
              <w:t>Simulation combat naval  ·  Score 85/100  ·  Zone 19.0–24.0€  ·  R/R 1.3x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22.0€  ·  Upside DCF : +18.2%</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22.0€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19.0€ – 24.0€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17.5€  (20.5%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28.0€  (+27.3%)</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26.0€  (upside +18.2%)</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1.3x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10.0%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0.3x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IDS developpe des simulateurs de combat naval pour les marines militaires. Chaque fregate livree necessite des annees de formation sur simulateur. Avec le rearmement EU, les commandes explosent. ROE 18%.</w:t>
            </w:r>
          </w:p>
        </w:tc>
        <w:tc>
          <w:tcPr>
            <w:tcW w:type="dxa" w:w="5100"/>
            <w:shd w:val="clear" w:color="auto" w:fill="FFF5F5"/>
          </w:tcPr>
          <w:p>
            <w:r>
              <w:rPr>
                <w:rFonts w:ascii="Arial" w:hAnsi="Arial"/>
                <w:b w:val="0"/>
                <w:i w:val="0"/>
                <w:color w:val="7C2C2C"/>
                <w:sz w:val="17"/>
              </w:rPr>
              <w:t>Peu liquide. Contrats longs. Taille limitee.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1.3x. Upside DCF +18.2%. Appliquer le protocole du dimanche avant tout passage d'ordre. Taille max : 8% du PEA. Stop loss : 17.5€.</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SODITECH  </w:t>
            </w:r>
            <w:r>
              <w:rPr>
                <w:rFonts w:ascii="Arial" w:hAnsi="Arial"/>
                <w:b w:val="0"/>
                <w:i w:val="0"/>
                <w:color w:val="AABBCC"/>
                <w:sz w:val="19"/>
              </w:rPr>
              <w:t>Soditech Spatial</w:t>
            </w:r>
          </w:p>
          <w:p>
            <w:r>
              <w:rPr>
                <w:rFonts w:ascii="Arial" w:hAnsi="Arial"/>
                <w:b w:val="0"/>
                <w:i w:val="0"/>
                <w:color w:val="AABBCC"/>
                <w:sz w:val="16"/>
              </w:rPr>
              <w:t>Ingenierie thermique spatial  ·  Score 85/100  ·  Zone 15.5–19.5€  ·  R/R 1.2x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18.0€  ·  Upside DCF : +16.7%</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18.0€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15.5€ – 19.5€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14.0€  (22.2%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23.0€  (+27.8%)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21.0€  (upside +16.7%)</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1.2x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19.0%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12.0%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0.3x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16.0x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Soditech est le specialiste du controle thermique des satellites — niche ultra-critique ou chaque satellite contient ses equipements. CNES et ESA clients captifs. Avec OneWeb et New Space, commandes accelerent. ROE 19%.</w:t>
            </w:r>
          </w:p>
        </w:tc>
        <w:tc>
          <w:tcPr>
            <w:tcW w:type="dxa" w:w="5100"/>
            <w:shd w:val="clear" w:color="auto" w:fill="FFF5F5"/>
          </w:tcPr>
          <w:p>
            <w:r>
              <w:rPr>
                <w:rFonts w:ascii="Arial" w:hAnsi="Arial"/>
                <w:b w:val="0"/>
                <w:i w:val="0"/>
                <w:color w:val="7C2C2C"/>
                <w:sz w:val="17"/>
              </w:rPr>
              <w:t>Peu liquide. Dependance programme Ariane.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1.2x. Upside DCF +16.7%. Appliquer le protocole du dimanche avant tout passage d'ordre. Taille max : 8% du PEA. Stop loss : 14.0€.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IDSF  </w:t>
            </w:r>
            <w:r>
              <w:rPr>
                <w:rFonts w:ascii="Arial" w:hAnsi="Arial"/>
                <w:b w:val="0"/>
                <w:i w:val="0"/>
                <w:color w:val="AABBCC"/>
                <w:sz w:val="19"/>
              </w:rPr>
              <w:t>Infotel</w:t>
            </w:r>
          </w:p>
          <w:p>
            <w:r>
              <w:rPr>
                <w:rFonts w:ascii="Arial" w:hAnsi="Arial"/>
                <w:b w:val="0"/>
                <w:i w:val="0"/>
                <w:color w:val="AABBCC"/>
                <w:sz w:val="16"/>
              </w:rPr>
              <w:t>ESN IT finance  ·  Score 85/100  ·  Zone 36.0–46.0€  ·  R/R 1.1x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42.0€  ·  Upside DCF : +19.0%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42.0€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36.0€ – 46.0€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33.0€  (21.4%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52.0€  (+23.8%)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50.0€  (upside +19.0%)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1.1x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6.0%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8.0%</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0.2x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Infotel est une ESN qui fait exclusivement de l informatique pour les banques et assurances — les systemes les plus complexes et les plus critiques. BNP, SocGen, AXA ne peuvent pas se passer de ses equipes. ROE 22%, zero dette, dividende 3.8%. Une perle meconnue.</w:t>
            </w:r>
          </w:p>
        </w:tc>
        <w:tc>
          <w:tcPr>
            <w:tcW w:type="dxa" w:w="5100"/>
            <w:shd w:val="clear" w:color="auto" w:fill="FFF5F5"/>
          </w:tcPr>
          <w:p>
            <w:r>
              <w:rPr>
                <w:rFonts w:ascii="Arial" w:hAnsi="Arial"/>
                <w:b w:val="0"/>
                <w:i w:val="0"/>
                <w:color w:val="7C2C2C"/>
                <w:sz w:val="17"/>
              </w:rPr>
              <w:t>Marche tres concentre (finance). Cyclicite bancaire. Concurrence Sopra Steria sur la meme niche.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1.1x. Upside DCF +19.0%. Appliquer le protocole du dimanche avant tout passage d'ordre. Taille max : 8% du PEA. Stop loss : 33.0€.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MLHRZ  </w:t>
            </w:r>
            <w:r>
              <w:rPr>
                <w:rFonts w:ascii="Arial" w:hAnsi="Arial"/>
                <w:b w:val="0"/>
                <w:i w:val="0"/>
                <w:color w:val="AABBCC"/>
                <w:sz w:val="19"/>
              </w:rPr>
              <w:t>Horiba</w:t>
            </w:r>
          </w:p>
          <w:p>
            <w:r>
              <w:rPr>
                <w:rFonts w:ascii="Arial" w:hAnsi="Arial"/>
                <w:b w:val="0"/>
                <w:i w:val="0"/>
                <w:color w:val="AABBCC"/>
                <w:sz w:val="16"/>
              </w:rPr>
              <w:t>Instruments scientifiques  ·  Score 85/100  ·  Zone 60.0–74.0€  ·  R/R 1.4x</w:t>
            </w:r>
          </w:p>
        </w:tc>
        <w:tc>
          <w:tcPr>
            <w:tcW w:type="dxa" w:w="5100"/>
            <w:shd w:val="clear" w:color="auto" w:fill="065F46"/>
          </w:tcPr>
          <w:p>
            <w:pPr>
              <w:jc w:val="right"/>
            </w:pPr>
            <w:r>
              <w:rPr>
                <w:rFonts w:ascii="Arial" w:hAnsi="Arial"/>
                <w:b/>
                <w:i w:val="0"/>
                <w:color w:val="F0D080"/>
                <w:sz w:val="44"/>
              </w:rPr>
              <w:t xml:space="preserve">85/100  </w:t>
            </w:r>
          </w:p>
          <w:p>
            <w:pPr>
              <w:jc w:val="right"/>
            </w:pPr>
            <w:r>
              <w:rPr>
                <w:rFonts w:ascii="Arial" w:hAnsi="Arial"/>
                <w:b w:val="0"/>
                <w:i w:val="0"/>
                <w:color w:val="AABBCC"/>
                <w:sz w:val="18"/>
              </w:rPr>
              <w:t>Cours : 68.0€  ·  Upside DCF : +20.6%</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68.0€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60.0€ – 74.0€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54.0€  (20.6%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88.0€  (+29.4%)</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82.0€  (upside +20.6%)</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1.4x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14.0%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0.3x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20.0x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85/100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Horiba fabrique les instruments qui testent et analysent les semi-conducteurs pendant leur fabrication — impossible de produire des puces sans ses equipements. Chaque nouvelle generation de puce necessite de nouveaux instruments Horiba. ROE 18%, Piotroski 8/9.</w:t>
            </w:r>
          </w:p>
        </w:tc>
        <w:tc>
          <w:tcPr>
            <w:tcW w:type="dxa" w:w="5100"/>
            <w:shd w:val="clear" w:color="auto" w:fill="FFF5F5"/>
          </w:tcPr>
          <w:p>
            <w:r>
              <w:rPr>
                <w:rFonts w:ascii="Arial" w:hAnsi="Arial"/>
                <w:b w:val="0"/>
                <w:i w:val="0"/>
                <w:color w:val="7C2C2C"/>
                <w:sz w:val="17"/>
              </w:rPr>
              <w:t>Coté Tokyo — verifier eligibilite PEA. Cyclicite semi. Yen fort comprime les profits en euros.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85/100 + en zone d'achat. R/R 1.4x. Upside DCF +20.6%. Appliquer le protocole du dimanche avant tout passage d'ordre. Taille max : 8% du PEA. Stop loss : 54.0€.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AI  </w:t>
            </w:r>
            <w:r>
              <w:rPr>
                <w:rFonts w:ascii="Arial" w:hAnsi="Arial"/>
                <w:b w:val="0"/>
                <w:i w:val="0"/>
                <w:color w:val="AABBCC"/>
                <w:sz w:val="19"/>
              </w:rPr>
              <w:t>Air Liquide</w:t>
            </w:r>
          </w:p>
          <w:p>
            <w:r>
              <w:rPr>
                <w:rFonts w:ascii="Arial" w:hAnsi="Arial"/>
                <w:b w:val="0"/>
                <w:i w:val="0"/>
                <w:color w:val="AABBCC"/>
                <w:sz w:val="16"/>
              </w:rPr>
              <w:t>Gaz industriels  ·  Score 82/100  ·  Zone 172.0–195.0€  ·  R/R 1.9x</w:t>
            </w:r>
          </w:p>
        </w:tc>
        <w:tc>
          <w:tcPr>
            <w:tcW w:type="dxa" w:w="5100"/>
            <w:shd w:val="clear" w:color="auto" w:fill="065F46"/>
          </w:tcPr>
          <w:p>
            <w:pPr>
              <w:jc w:val="right"/>
            </w:pPr>
            <w:r>
              <w:rPr>
                <w:rFonts w:ascii="Arial" w:hAnsi="Arial"/>
                <w:b/>
                <w:i w:val="0"/>
                <w:color w:val="F0D080"/>
                <w:sz w:val="44"/>
              </w:rPr>
              <w:t xml:space="preserve">82/100  </w:t>
            </w:r>
          </w:p>
          <w:p>
            <w:pPr>
              <w:jc w:val="right"/>
            </w:pPr>
            <w:r>
              <w:rPr>
                <w:rFonts w:ascii="Arial" w:hAnsi="Arial"/>
                <w:b w:val="0"/>
                <w:i w:val="0"/>
                <w:color w:val="AABBCC"/>
                <w:sz w:val="18"/>
              </w:rPr>
              <w:t>Cours : 176.24€  ·  Upside DCF : +16.3%</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176.24€</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172.0€ – 195.0€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158.0€  (10.3%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210.0€  (+19.2%)</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205.0€  (upside +16.3%)</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1.9x  ✅ favorable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16.0%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13.0%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5.8%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7/9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1.8x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26.0x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48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17/20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82/100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Air Liquide est l'infrastructure invisible de l'industrie mondiale. 29 années consécutives de hausse du dividende. Contrats 15-20 ans take-or-pay = cash flows quasi-certains.</w:t>
            </w:r>
          </w:p>
        </w:tc>
        <w:tc>
          <w:tcPr>
            <w:tcW w:type="dxa" w:w="5100"/>
            <w:shd w:val="clear" w:color="auto" w:fill="FFF5F5"/>
          </w:tcPr>
          <w:p>
            <w:r>
              <w:rPr>
                <w:rFonts w:ascii="Arial" w:hAnsi="Arial"/>
                <w:b w:val="0"/>
                <w:i w:val="0"/>
                <w:color w:val="7C2C2C"/>
                <w:sz w:val="17"/>
              </w:rPr>
              <w:t>Valorisation premium. CAPEX très lourd (12.4% CA) pour l'hydrogène dont le retour reste incertain.</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82/100 + en zone d'achat. R/R 1.9x. Upside DCF +16.3%. Appliquer le protocole du dimanche avant tout passage d'ordre. Taille max : 8% du PEA. Stop loss : 158.0€.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SELENV  </w:t>
            </w:r>
            <w:r>
              <w:rPr>
                <w:rFonts w:ascii="Arial" w:hAnsi="Arial"/>
                <w:b w:val="0"/>
                <w:i w:val="0"/>
                <w:color w:val="AABBCC"/>
                <w:sz w:val="19"/>
              </w:rPr>
              <w:t>Seche Environnement</w:t>
            </w:r>
          </w:p>
          <w:p>
            <w:r>
              <w:rPr>
                <w:rFonts w:ascii="Arial" w:hAnsi="Arial"/>
                <w:b w:val="0"/>
                <w:i w:val="0"/>
                <w:color w:val="AABBCC"/>
                <w:sz w:val="16"/>
              </w:rPr>
              <w:t>Dechets dangereux  ·  Score 82/100  ·  Zone 74.0–92.0€  ·  R/R 1.1x</w:t>
            </w:r>
          </w:p>
        </w:tc>
        <w:tc>
          <w:tcPr>
            <w:tcW w:type="dxa" w:w="5100"/>
            <w:shd w:val="clear" w:color="auto" w:fill="065F46"/>
          </w:tcPr>
          <w:p>
            <w:pPr>
              <w:jc w:val="right"/>
            </w:pPr>
            <w:r>
              <w:rPr>
                <w:rFonts w:ascii="Arial" w:hAnsi="Arial"/>
                <w:b/>
                <w:i w:val="0"/>
                <w:color w:val="F0D080"/>
                <w:sz w:val="44"/>
              </w:rPr>
              <w:t xml:space="preserve">82/100  </w:t>
            </w:r>
          </w:p>
          <w:p>
            <w:pPr>
              <w:jc w:val="right"/>
            </w:pPr>
            <w:r>
              <w:rPr>
                <w:rFonts w:ascii="Arial" w:hAnsi="Arial"/>
                <w:b w:val="0"/>
                <w:i w:val="0"/>
                <w:color w:val="AABBCC"/>
                <w:sz w:val="18"/>
              </w:rPr>
              <w:t>Cours : 85.0€  ·  Upside DCF : +15.3%</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85.0€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74.0€ – 92.0€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66.0€  (22.4%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105.0€  (+23.5%)</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98.0€  (upside +15.3%)</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1.1x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10.0%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7/9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2.0x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17/20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82/100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Seche Environnement incinere les dechets industriels dangereux. Chaque autorisation prefectorale prend 10-15 ans a obtenir — personne ne peut ouvrir un concurrent demain. Moat reglementaire absolu. ROE 18%, famille fondatrice aux commandes. La pepite du traitement des dechets.</w:t>
            </w:r>
          </w:p>
        </w:tc>
        <w:tc>
          <w:tcPr>
            <w:tcW w:type="dxa" w:w="5100"/>
            <w:shd w:val="clear" w:color="auto" w:fill="FFF5F5"/>
          </w:tcPr>
          <w:p>
            <w:r>
              <w:rPr>
                <w:rFonts w:ascii="Arial" w:hAnsi="Arial"/>
                <w:b w:val="0"/>
                <w:i w:val="0"/>
                <w:color w:val="7C2C2C"/>
                <w:sz w:val="17"/>
              </w:rPr>
              <w:t>CAPEX intensif. Accidents industriels = risque reputationnel. Dette a surveiller.</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82/100 + en zone d'achat. R/R 1.1x. Upside DCF +15.3%. Appliquer le protocole du dimanche avant tout passage d'ordre. Taille max : 8% du PEA. Stop loss : 66.0€.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COGEFI  </w:t>
            </w:r>
            <w:r>
              <w:rPr>
                <w:rFonts w:ascii="Arial" w:hAnsi="Arial"/>
                <w:b w:val="0"/>
                <w:i w:val="0"/>
                <w:color w:val="AABBCC"/>
                <w:sz w:val="19"/>
              </w:rPr>
              <w:t>Cogefi Selection</w:t>
            </w:r>
          </w:p>
          <w:p>
            <w:r>
              <w:rPr>
                <w:rFonts w:ascii="Arial" w:hAnsi="Arial"/>
                <w:b w:val="0"/>
                <w:i w:val="0"/>
                <w:color w:val="AABBCC"/>
                <w:sz w:val="16"/>
              </w:rPr>
              <w:t>Assurance crédit  ·  Score 80/100  ·  Zone 11.5–13.2€  ·  R/R 1.2x</w:t>
            </w:r>
          </w:p>
        </w:tc>
        <w:tc>
          <w:tcPr>
            <w:tcW w:type="dxa" w:w="5100"/>
            <w:shd w:val="clear" w:color="auto" w:fill="065F46"/>
          </w:tcPr>
          <w:p>
            <w:pPr>
              <w:jc w:val="right"/>
            </w:pPr>
            <w:r>
              <w:rPr>
                <w:rFonts w:ascii="Arial" w:hAnsi="Arial"/>
                <w:b/>
                <w:i w:val="0"/>
                <w:color w:val="F0D080"/>
                <w:sz w:val="44"/>
              </w:rPr>
              <w:t xml:space="preserve">80/100  </w:t>
            </w:r>
          </w:p>
          <w:p>
            <w:pPr>
              <w:jc w:val="right"/>
            </w:pPr>
            <w:r>
              <w:rPr>
                <w:rFonts w:ascii="Arial" w:hAnsi="Arial"/>
                <w:b w:val="0"/>
                <w:i w:val="0"/>
                <w:color w:val="AABBCC"/>
                <w:sz w:val="18"/>
              </w:rPr>
              <w:t>Cours : 12.8€  ·  Upside DCF : +21.1%</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12.8€</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11.5€ – 13.2€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10.2€  (20.3%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16.0€  (+25.0%)</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15.5€  (upside +21.1%)</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1.2x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14.0%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12.0%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9.8%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8.0x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45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Coface : 8.2% de dividende couvert 2x. CEO a acheté pour 1.2M€ en février 2026 — signal fort. Sinistralité au plus bas.</w:t>
            </w:r>
          </w:p>
        </w:tc>
        <w:tc>
          <w:tcPr>
            <w:tcW w:type="dxa" w:w="5100"/>
            <w:shd w:val="clear" w:color="auto" w:fill="FFF5F5"/>
          </w:tcPr>
          <w:p>
            <w:r>
              <w:rPr>
                <w:rFonts w:ascii="Arial" w:hAnsi="Arial"/>
                <w:b w:val="0"/>
                <w:i w:val="0"/>
                <w:color w:val="7C2C2C"/>
                <w:sz w:val="17"/>
              </w:rPr>
              <w:t>Cyclique sur les faillites. Retournement économique = explosion des sinistres.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80/100 + en zone d'achat. R/R 1.2x. Upside DCF +21.1%. Appliquer le protocole du dimanche avant tout passage d'ordre. Taille max : 8% du PEA. Stop loss : 10.2€.</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THERMADOR  </w:t>
            </w:r>
            <w:r>
              <w:rPr>
                <w:rFonts w:ascii="Arial" w:hAnsi="Arial"/>
                <w:b w:val="0"/>
                <w:i w:val="0"/>
                <w:color w:val="AABBCC"/>
                <w:sz w:val="19"/>
              </w:rPr>
              <w:t>Thermador</w:t>
            </w:r>
          </w:p>
          <w:p>
            <w:r>
              <w:rPr>
                <w:rFonts w:ascii="Arial" w:hAnsi="Arial"/>
                <w:b w:val="0"/>
                <w:i w:val="0"/>
                <w:color w:val="AABBCC"/>
                <w:sz w:val="16"/>
              </w:rPr>
              <w:t>Distribution eau  ·  Score 80/100  ·  Zone 78.0–95.0€  ·  R/R 0x</w:t>
            </w:r>
          </w:p>
        </w:tc>
        <w:tc>
          <w:tcPr>
            <w:tcW w:type="dxa" w:w="5100"/>
            <w:shd w:val="clear" w:color="auto" w:fill="065F46"/>
          </w:tcPr>
          <w:p>
            <w:pPr>
              <w:jc w:val="right"/>
            </w:pPr>
            <w:r>
              <w:rPr>
                <w:rFonts w:ascii="Arial" w:hAnsi="Arial"/>
                <w:b/>
                <w:i w:val="0"/>
                <w:color w:val="F0D080"/>
                <w:sz w:val="44"/>
              </w:rPr>
              <w:t xml:space="preserve">80/100  </w:t>
            </w:r>
          </w:p>
          <w:p>
            <w:pPr>
              <w:jc w:val="right"/>
            </w:pPr>
            <w:r>
              <w:rPr>
                <w:rFonts w:ascii="Arial" w:hAnsi="Arial"/>
                <w:b w:val="0"/>
                <w:i w:val="0"/>
                <w:color w:val="AABBCC"/>
                <w:sz w:val="18"/>
              </w:rPr>
              <w:t>Cours : 68.4€  ·  Upside DCF : +43.3%</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68.4€</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78.0€ – 95.0€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70.0€  (-2.3%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108.0€  (+57.9%)</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98.0€  (upside +43.3%)</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7.0%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0.3x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12.0x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50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Thermador est leader de la distribution robinetterie/eau en France avec zéro dette et 18% de ROE. Pépite méconnue, famille aux commandes.</w:t>
            </w:r>
          </w:p>
        </w:tc>
        <w:tc>
          <w:tcPr>
            <w:tcW w:type="dxa" w:w="5100"/>
            <w:shd w:val="clear" w:color="auto" w:fill="FFF5F5"/>
          </w:tcPr>
          <w:p>
            <w:r>
              <w:rPr>
                <w:rFonts w:ascii="Arial" w:hAnsi="Arial"/>
                <w:b w:val="0"/>
                <w:i w:val="0"/>
                <w:color w:val="7C2C2C"/>
                <w:sz w:val="17"/>
              </w:rPr>
              <w:t>Très peu liquide. Bâtiment cyclique.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80/100 + en zone d'achat. R/R 0x. Upside DCF +43.3%. Appliquer le protocole du dimanche avant tout passage d'ordre. Taille max : 8% du PEA. Stop loss : 70.0€.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RADIALL  </w:t>
            </w:r>
            <w:r>
              <w:rPr>
                <w:rFonts w:ascii="Arial" w:hAnsi="Arial"/>
                <w:b w:val="0"/>
                <w:i w:val="0"/>
                <w:color w:val="AABBCC"/>
                <w:sz w:val="19"/>
              </w:rPr>
              <w:t>Radiall</w:t>
            </w:r>
          </w:p>
          <w:p>
            <w:r>
              <w:rPr>
                <w:rFonts w:ascii="Arial" w:hAnsi="Arial"/>
                <w:b w:val="0"/>
                <w:i w:val="0"/>
                <w:color w:val="AABBCC"/>
                <w:sz w:val="16"/>
              </w:rPr>
              <w:t>Connecteurs RF defense  ·  Score 80/100  ·  Zone 172.0–210.0€  ·  R/R 0.9x</w:t>
            </w:r>
          </w:p>
        </w:tc>
        <w:tc>
          <w:tcPr>
            <w:tcW w:type="dxa" w:w="5100"/>
            <w:shd w:val="clear" w:color="auto" w:fill="065F46"/>
          </w:tcPr>
          <w:p>
            <w:pPr>
              <w:jc w:val="right"/>
            </w:pPr>
            <w:r>
              <w:rPr>
                <w:rFonts w:ascii="Arial" w:hAnsi="Arial"/>
                <w:b/>
                <w:i w:val="0"/>
                <w:color w:val="F0D080"/>
                <w:sz w:val="44"/>
              </w:rPr>
              <w:t xml:space="preserve">80/100  </w:t>
            </w:r>
          </w:p>
          <w:p>
            <w:pPr>
              <w:jc w:val="right"/>
            </w:pPr>
            <w:r>
              <w:rPr>
                <w:rFonts w:ascii="Arial" w:hAnsi="Arial"/>
                <w:b w:val="0"/>
                <w:i w:val="0"/>
                <w:color w:val="AABBCC"/>
                <w:sz w:val="18"/>
              </w:rPr>
              <w:t>Cours : 195.0€  ·  Upside DCF : +11.8%</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195.0€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172.0€ – 210.0€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155.0€  (20.5%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232.0€  (+19.0%)</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218.0€  (upside +11.8%)</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0.9x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11.0%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0.8x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14.0x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50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Radiall fabrique les connecteurs radiofrequence qui relient les systemes electroniques dans chaque missile, avion de combat et satellite. Ce sont des composants critiques ou la qualite prime sur le prix. Famille Gattaz aux commandes depuis 1952 avec un track record de rigueur industrielle exemplaire...</w:t>
            </w:r>
          </w:p>
        </w:tc>
        <w:tc>
          <w:tcPr>
            <w:tcW w:type="dxa" w:w="5100"/>
            <w:shd w:val="clear" w:color="auto" w:fill="FFF5F5"/>
          </w:tcPr>
          <w:p>
            <w:r>
              <w:rPr>
                <w:rFonts w:ascii="Arial" w:hAnsi="Arial"/>
                <w:b w:val="0"/>
                <w:i w:val="0"/>
                <w:color w:val="7C2C2C"/>
                <w:sz w:val="17"/>
              </w:rPr>
              <w:t>Tres peu liquide (famille 98%). Cyclicite defense sur les grands programmes. Taille limitee vs Amphenol 10Md€ CA.</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80/100 + en zone d'achat. R/R 0.9x. Upside DCF +11.8%. Appliquer le protocole du dimanche avant tout passage d'ordre. Taille max : 8% du PEA. Stop loss : 155.0€.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TRGO  </w:t>
            </w:r>
            <w:r>
              <w:rPr>
                <w:rFonts w:ascii="Arial" w:hAnsi="Arial"/>
                <w:b w:val="0"/>
                <w:i w:val="0"/>
                <w:color w:val="AABBCC"/>
                <w:sz w:val="19"/>
              </w:rPr>
              <w:t>Trigano Camping Cars</w:t>
            </w:r>
          </w:p>
          <w:p>
            <w:r>
              <w:rPr>
                <w:rFonts w:ascii="Arial" w:hAnsi="Arial"/>
                <w:b w:val="0"/>
                <w:i w:val="0"/>
                <w:color w:val="AABBCC"/>
                <w:sz w:val="16"/>
              </w:rPr>
              <w:t>Vehicules loisirs camping  ·  Score 80/100  ·  Zone 148.0–182.0€  ·  R/R 1.9x</w:t>
            </w:r>
          </w:p>
        </w:tc>
        <w:tc>
          <w:tcPr>
            <w:tcW w:type="dxa" w:w="5100"/>
            <w:shd w:val="clear" w:color="auto" w:fill="065F46"/>
          </w:tcPr>
          <w:p>
            <w:pPr>
              <w:jc w:val="right"/>
            </w:pPr>
            <w:r>
              <w:rPr>
                <w:rFonts w:ascii="Arial" w:hAnsi="Arial"/>
                <w:b/>
                <w:i w:val="0"/>
                <w:color w:val="F0D080"/>
                <w:sz w:val="44"/>
              </w:rPr>
              <w:t xml:space="preserve">80/100  </w:t>
            </w:r>
          </w:p>
          <w:p>
            <w:pPr>
              <w:jc w:val="right"/>
            </w:pPr>
            <w:r>
              <w:rPr>
                <w:rFonts w:ascii="Arial" w:hAnsi="Arial"/>
                <w:b w:val="0"/>
                <w:i w:val="0"/>
                <w:color w:val="AABBCC"/>
                <w:sz w:val="18"/>
              </w:rPr>
              <w:t>Cours : 158.3€  ·  Upside DCF : +23.2%</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158.3€</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148.0€ – 182.0€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132.0€  (16.6%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208.0€  (+31.4%)</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195.0€  (upside +23.2%)</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1.9x  ✅ favorable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8.0%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10.0x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52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Trigano est le leader europeen du camping-car sous toutes ses formes (van, integraux, semis). La generation baby-boom part a la retraite avec du pouvoir d achat et choisit massivement le tourisme itinerant. ROE 22%, carnet 18 mois plein, famille fondatrice. Une pepite meconnue du secteur loisir.</w:t>
            </w:r>
          </w:p>
        </w:tc>
        <w:tc>
          <w:tcPr>
            <w:tcW w:type="dxa" w:w="5100"/>
            <w:shd w:val="clear" w:color="auto" w:fill="FFF5F5"/>
          </w:tcPr>
          <w:p>
            <w:r>
              <w:rPr>
                <w:rFonts w:ascii="Arial" w:hAnsi="Arial"/>
                <w:b w:val="0"/>
                <w:i w:val="0"/>
                <w:color w:val="7C2C2C"/>
                <w:sz w:val="17"/>
              </w:rPr>
              <w:t>Cyclicite loisirs premium. Carburant = frein a l adoption VE. Carnet plein mais sensible aux annulations.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80/100 + en zone d'achat. R/R 1.9x. Upside DCF +23.2%. Appliquer le protocole du dimanche avant tout passage d'ordre. Taille max : 8% du PEA. Stop loss : 132.0€.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THERMD  </w:t>
            </w:r>
            <w:r>
              <w:rPr>
                <w:rFonts w:ascii="Arial" w:hAnsi="Arial"/>
                <w:b w:val="0"/>
                <w:i w:val="0"/>
                <w:color w:val="AABBCC"/>
                <w:sz w:val="19"/>
              </w:rPr>
              <w:t>Thermador Groupe</w:t>
            </w:r>
          </w:p>
          <w:p>
            <w:r>
              <w:rPr>
                <w:rFonts w:ascii="Arial" w:hAnsi="Arial"/>
                <w:b w:val="0"/>
                <w:i w:val="0"/>
                <w:color w:val="AABBCC"/>
                <w:sz w:val="16"/>
              </w:rPr>
              <w:t>Distribution robinetterie chauffage  ·  Score 80/100  ·  Zone 63.0–78.0€  ·  R/R 1.7x</w:t>
            </w:r>
          </w:p>
        </w:tc>
        <w:tc>
          <w:tcPr>
            <w:tcW w:type="dxa" w:w="5100"/>
            <w:shd w:val="clear" w:color="auto" w:fill="065F46"/>
          </w:tcPr>
          <w:p>
            <w:pPr>
              <w:jc w:val="right"/>
            </w:pPr>
            <w:r>
              <w:rPr>
                <w:rFonts w:ascii="Arial" w:hAnsi="Arial"/>
                <w:b/>
                <w:i w:val="0"/>
                <w:color w:val="F0D080"/>
                <w:sz w:val="44"/>
              </w:rPr>
              <w:t xml:space="preserve">80/100  </w:t>
            </w:r>
          </w:p>
          <w:p>
            <w:pPr>
              <w:jc w:val="right"/>
            </w:pPr>
            <w:r>
              <w:rPr>
                <w:rFonts w:ascii="Arial" w:hAnsi="Arial"/>
                <w:b w:val="0"/>
                <w:i w:val="0"/>
                <w:color w:val="AABBCC"/>
                <w:sz w:val="18"/>
              </w:rPr>
              <w:t>Cours : 68.4€  ·  Upside DCF : +24.3%</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68.4€</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63.0€ – 78.0€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57.0€  (16.7%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88.0€  (+28.7%)</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85.0€  (upside +24.3%)</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1.7x  ✅ favorable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23.0%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8.0%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8.5%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9/9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0.1x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11.0x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50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80/100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Thermador distribue la robinetterie, les pompes et equipements de chauffage. Piotroski 9/9 — score parfait. ROE 23%, zero dette, dividende 4.5%. Modele buy-and-build acquiert des distributeurs regionaux rentables. La transition vers les pompes a chaleur est son marche du futur.</w:t>
            </w:r>
          </w:p>
        </w:tc>
        <w:tc>
          <w:tcPr>
            <w:tcW w:type="dxa" w:w="5100"/>
            <w:shd w:val="clear" w:color="auto" w:fill="FFF5F5"/>
          </w:tcPr>
          <w:p>
            <w:r>
              <w:rPr>
                <w:rFonts w:ascii="Arial" w:hAnsi="Arial"/>
                <w:b w:val="0"/>
                <w:i w:val="0"/>
                <w:color w:val="7C2C2C"/>
                <w:sz w:val="17"/>
              </w:rPr>
              <w:t>Tres peu liquide. Cyclicite construction. Taille insuffisante pour les institutionnels.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80/100 + en zone d'achat. R/R 1.7x. Upside DCF +24.3%. Appliquer le protocole du dimanche avant tout passage d'ordre. Taille max : 8% du PEA. Stop loss : 57.0€.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NEXANS  </w:t>
            </w:r>
            <w:r>
              <w:rPr>
                <w:rFonts w:ascii="Arial" w:hAnsi="Arial"/>
                <w:b w:val="0"/>
                <w:i w:val="0"/>
                <w:color w:val="AABBCC"/>
                <w:sz w:val="19"/>
              </w:rPr>
              <w:t>Nexans</w:t>
            </w:r>
          </w:p>
          <w:p>
            <w:r>
              <w:rPr>
                <w:rFonts w:ascii="Arial" w:hAnsi="Arial"/>
                <w:b w:val="0"/>
                <w:i w:val="0"/>
                <w:color w:val="AABBCC"/>
                <w:sz w:val="16"/>
              </w:rPr>
              <w:t>Câbles  ·  Score 77/100  ·  Zone 147.5–179.6€  ·  R/R 1.3x</w:t>
            </w:r>
          </w:p>
        </w:tc>
        <w:tc>
          <w:tcPr>
            <w:tcW w:type="dxa" w:w="5100"/>
            <w:shd w:val="clear" w:color="auto" w:fill="065F46"/>
          </w:tcPr>
          <w:p>
            <w:pPr>
              <w:jc w:val="right"/>
            </w:pPr>
            <w:r>
              <w:rPr>
                <w:rFonts w:ascii="Arial" w:hAnsi="Arial"/>
                <w:b/>
                <w:i w:val="0"/>
                <w:color w:val="F0D080"/>
                <w:sz w:val="44"/>
              </w:rPr>
              <w:t xml:space="preserve">77/100  </w:t>
            </w:r>
          </w:p>
          <w:p>
            <w:pPr>
              <w:jc w:val="right"/>
            </w:pPr>
            <w:r>
              <w:rPr>
                <w:rFonts w:ascii="Arial" w:hAnsi="Arial"/>
                <w:b w:val="0"/>
                <w:i w:val="0"/>
                <w:color w:val="AABBCC"/>
                <w:sz w:val="18"/>
              </w:rPr>
              <w:t>Cours : 163.4€  ·  Upside DCF : +13.4%</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163.4€</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147.5€ – 179.6€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132.4€  (19.0%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204.2€  (+25.0%)</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185.3€  (upside +13.4%)</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1.3x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22.0%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5.0%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6.8%</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7/9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1.8x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12.0x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55 ✅</w:t>
            </w:r>
          </w:p>
        </w:tc>
        <w:tc>
          <w:tcPr>
            <w:tcW w:type="dxa" w:w="2550"/>
            <w:shd w:val="clear" w:color="auto" w:fill="EFF6FF"/>
          </w:tcPr>
          <w:p>
            <w:r>
              <w:rPr>
                <w:rFonts w:ascii="Arial" w:hAnsi="Arial"/>
                <w:b/>
                <w:i w:val="0"/>
                <w:color w:val="0F2540"/>
                <w:sz w:val="17"/>
              </w:rPr>
              <w:t>MM200</w:t>
            </w:r>
          </w:p>
        </w:tc>
        <w:tc>
          <w:tcPr>
            <w:tcW w:type="dxa" w:w="2550"/>
            <w:shd w:val="clear" w:color="auto" w:fill="DCFCE7"/>
          </w:tcPr>
          <w:p>
            <w:r>
              <w:rPr>
                <w:rFonts w:ascii="Arial" w:hAnsi="Arial"/>
                <w:b w:val="0"/>
                <w:i w:val="0"/>
                <w:color w:val="16A34A"/>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17/20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20/20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77/100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Nexans est au cœur de la transition énergétique. Les câbles sous-marins pour l'éolien offshore sont en pénurie structurelle. Carnet record.</w:t>
            </w:r>
          </w:p>
        </w:tc>
        <w:tc>
          <w:tcPr>
            <w:tcW w:type="dxa" w:w="5100"/>
            <w:shd w:val="clear" w:color="auto" w:fill="FFF5F5"/>
          </w:tcPr>
          <w:p>
            <w:r>
              <w:rPr>
                <w:rFonts w:ascii="Arial" w:hAnsi="Arial"/>
                <w:b w:val="0"/>
                <w:i w:val="0"/>
                <w:color w:val="7C2C2C"/>
                <w:sz w:val="17"/>
              </w:rPr>
              <w:t>Exposition forte au prix du cuivre. Prysmian reste plus large et plus rentable.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77/100 + en zone d'achat. R/R 1.3x. Upside DCF +13.4%. Appliquer le protocole du dimanche avant tout passage d'ordre. Taille max : 8% du PEA. Stop loss : 132.4€.</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CLASQUIN  </w:t>
            </w:r>
            <w:r>
              <w:rPr>
                <w:rFonts w:ascii="Arial" w:hAnsi="Arial"/>
                <w:b w:val="0"/>
                <w:i w:val="0"/>
                <w:color w:val="AABBCC"/>
                <w:sz w:val="19"/>
              </w:rPr>
              <w:t>Clasquin</w:t>
            </w:r>
          </w:p>
          <w:p>
            <w:r>
              <w:rPr>
                <w:rFonts w:ascii="Arial" w:hAnsi="Arial"/>
                <w:b w:val="0"/>
                <w:i w:val="0"/>
                <w:color w:val="AABBCC"/>
                <w:sz w:val="16"/>
              </w:rPr>
              <w:t>Transit international  ·  Score 70/100  ·  Zone 36.0–46.0€  ·  R/R 1.0x</w:t>
            </w:r>
          </w:p>
        </w:tc>
        <w:tc>
          <w:tcPr>
            <w:tcW w:type="dxa" w:w="5100"/>
            <w:shd w:val="clear" w:color="auto" w:fill="065F46"/>
          </w:tcPr>
          <w:p>
            <w:pPr>
              <w:jc w:val="right"/>
            </w:pPr>
            <w:r>
              <w:rPr>
                <w:rFonts w:ascii="Arial" w:hAnsi="Arial"/>
                <w:b/>
                <w:i w:val="0"/>
                <w:color w:val="F0D080"/>
                <w:sz w:val="44"/>
              </w:rPr>
              <w:t xml:space="preserve">70/100  </w:t>
            </w:r>
          </w:p>
          <w:p>
            <w:pPr>
              <w:jc w:val="right"/>
            </w:pPr>
            <w:r>
              <w:rPr>
                <w:rFonts w:ascii="Arial" w:hAnsi="Arial"/>
                <w:b w:val="0"/>
                <w:i w:val="0"/>
                <w:color w:val="AABBCC"/>
                <w:sz w:val="18"/>
              </w:rPr>
              <w:t>Cours : 42.0€  ·  Upside DCF : +11.9%</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42.0€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36.0€ – 46.0€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32.0€  (23.8%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52.0€  (+23.8%)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47.0€  (upside +11.9%)</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5.0%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10.0x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50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70/100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Clasquin est un transitaire premium Asie/Europe avec 18% de ROE et zéro dette. Famille lyonnaise aux commandes depuis 40 ans.</w:t>
            </w:r>
          </w:p>
        </w:tc>
        <w:tc>
          <w:tcPr>
            <w:tcW w:type="dxa" w:w="5100"/>
            <w:shd w:val="clear" w:color="auto" w:fill="FFF5F5"/>
          </w:tcPr>
          <w:p>
            <w:r>
              <w:rPr>
                <w:rFonts w:ascii="Arial" w:hAnsi="Arial"/>
                <w:b w:val="0"/>
                <w:i w:val="0"/>
                <w:color w:val="7C2C2C"/>
                <w:sz w:val="17"/>
              </w:rPr>
              <w:t>Très peu liquide. Cyclicité fret forte. Normalisation post-COVID compresse les marges.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70/100 + en zone d'achat. R/R 1.0x. Upside DCF +11.9%. Appliquer le protocole du dimanche avant tout passage d'ordre. Taille max : 8% du PEA. Stop loss : 32.0€.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ALCLF  </w:t>
            </w:r>
            <w:r>
              <w:rPr>
                <w:rFonts w:ascii="Arial" w:hAnsi="Arial"/>
                <w:b w:val="0"/>
                <w:i w:val="0"/>
                <w:color w:val="AABBCC"/>
                <w:sz w:val="19"/>
              </w:rPr>
              <w:t>Clasquin</w:t>
            </w:r>
          </w:p>
          <w:p>
            <w:r>
              <w:rPr>
                <w:rFonts w:ascii="Arial" w:hAnsi="Arial"/>
                <w:b w:val="0"/>
                <w:i w:val="0"/>
                <w:color w:val="AABBCC"/>
                <w:sz w:val="16"/>
              </w:rPr>
              <w:t>Transit international  ·  Score 70/100  ·  Zone 36.0–46.0€  ·  R/R 1.0x</w:t>
            </w:r>
          </w:p>
        </w:tc>
        <w:tc>
          <w:tcPr>
            <w:tcW w:type="dxa" w:w="5100"/>
            <w:shd w:val="clear" w:color="auto" w:fill="065F46"/>
          </w:tcPr>
          <w:p>
            <w:pPr>
              <w:jc w:val="right"/>
            </w:pPr>
            <w:r>
              <w:rPr>
                <w:rFonts w:ascii="Arial" w:hAnsi="Arial"/>
                <w:b/>
                <w:i w:val="0"/>
                <w:color w:val="F0D080"/>
                <w:sz w:val="44"/>
              </w:rPr>
              <w:t xml:space="preserve">70/100  </w:t>
            </w:r>
          </w:p>
          <w:p>
            <w:pPr>
              <w:jc w:val="right"/>
            </w:pPr>
            <w:r>
              <w:rPr>
                <w:rFonts w:ascii="Arial" w:hAnsi="Arial"/>
                <w:b w:val="0"/>
                <w:i w:val="0"/>
                <w:color w:val="AABBCC"/>
                <w:sz w:val="18"/>
              </w:rPr>
              <w:t>Cours : 42.0€  ·  Upside DCF : +11.9%</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42.0€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36.0€ – 46.0€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32.0€  (23.8%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52.0€  (+23.8%)</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47.0€  (upside +11.9%)</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1.0x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18.0%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5.0%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7.2%</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0.5x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10.0x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50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10/20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70/100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Clasquin est le transitaire premium Asie-Europe avec 18% de ROE et zero dette. La famille lyonnaise dirige depuis 40 ans avec une culture de service client exceptionnel que les grands (Geodis, DHL) ne peuvent pas reproduire. Dividende 4.5% croissant.</w:t>
            </w:r>
          </w:p>
        </w:tc>
        <w:tc>
          <w:tcPr>
            <w:tcW w:type="dxa" w:w="5100"/>
            <w:shd w:val="clear" w:color="auto" w:fill="FFF5F5"/>
          </w:tcPr>
          <w:p>
            <w:r>
              <w:rPr>
                <w:rFonts w:ascii="Arial" w:hAnsi="Arial"/>
                <w:b w:val="0"/>
                <w:i w:val="0"/>
                <w:color w:val="7C2C2C"/>
                <w:sz w:val="17"/>
              </w:rPr>
              <w:t>Tres peu liquide. Cyclicite fret forte. La normalisation post-COVID a compresse les marges de transit de luxe.</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70/100 + en zone d'achat. R/R 1.0x. Upside DCF +11.9%. Appliquer le protocole du dimanche avant tout passage d'ordre. Taille max : 8% du PEA. Stop loss : 32.0€.</w:t>
            </w:r>
          </w:p>
        </w:tc>
      </w:tr>
    </w:tbl>
    <w:p>
      <w:pPr>
        <w:spacing w:after="40"/>
      </w:pPr>
    </w:p>
    <w:p>
      <w:pPr>
        <w:pBdr>
          <w:top w:val="single" w:sz="12" w:color="F0D080"/>
        </w:pBdr>
        <w:spacing w:before="200" w:after="1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0D080"/>
                <w:sz w:val="24"/>
              </w:rPr>
              <w:t xml:space="preserve">[A] </w:t>
            </w:r>
            <w:r>
              <w:rPr>
                <w:rFonts w:ascii="Arial" w:hAnsi="Arial"/>
                <w:b/>
                <w:i w:val="0"/>
                <w:color w:val="F0D080"/>
                <w:sz w:val="34"/>
              </w:rPr>
              <w:t xml:space="preserve">MLCFT  </w:t>
            </w:r>
            <w:r>
              <w:rPr>
                <w:rFonts w:ascii="Arial" w:hAnsi="Arial"/>
                <w:b w:val="0"/>
                <w:i w:val="0"/>
                <w:color w:val="AABBCC"/>
                <w:sz w:val="19"/>
              </w:rPr>
              <w:t>Clasquin Fret</w:t>
            </w:r>
          </w:p>
          <w:p>
            <w:r>
              <w:rPr>
                <w:rFonts w:ascii="Arial" w:hAnsi="Arial"/>
                <w:b w:val="0"/>
                <w:i w:val="0"/>
                <w:color w:val="AABBCC"/>
                <w:sz w:val="16"/>
              </w:rPr>
              <w:t>Commission fret aerien  ·  Score 70/100  ·  Zone 30.0–38.0€  ·  R/R 1.2x</w:t>
            </w:r>
          </w:p>
        </w:tc>
        <w:tc>
          <w:tcPr>
            <w:tcW w:type="dxa" w:w="5100"/>
            <w:shd w:val="clear" w:color="auto" w:fill="065F46"/>
          </w:tcPr>
          <w:p>
            <w:pPr>
              <w:jc w:val="right"/>
            </w:pPr>
            <w:r>
              <w:rPr>
                <w:rFonts w:ascii="Arial" w:hAnsi="Arial"/>
                <w:b/>
                <w:i w:val="0"/>
                <w:color w:val="F0D080"/>
                <w:sz w:val="44"/>
              </w:rPr>
              <w:t xml:space="preserve">70/100  </w:t>
            </w:r>
          </w:p>
          <w:p>
            <w:pPr>
              <w:jc w:val="right"/>
            </w:pPr>
            <w:r>
              <w:rPr>
                <w:rFonts w:ascii="Arial" w:hAnsi="Arial"/>
                <w:b w:val="0"/>
                <w:i w:val="0"/>
                <w:color w:val="AABBCC"/>
                <w:sz w:val="18"/>
              </w:rPr>
              <w:t>Cours : 35.0€  ·  Upside DCF : +20.0%</w:t>
            </w:r>
          </w:p>
        </w:tc>
      </w:tr>
    </w:tbl>
    <w:p>
      <w:pPr>
        <w:spacing w:after="4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Indicateur</w:t>
            </w:r>
          </w:p>
        </w:tc>
        <w:tc>
          <w:tcPr>
            <w:tcW w:type="dxa" w:w="5100"/>
            <w:shd w:val="clear" w:color="auto" w:fill="0F2540"/>
          </w:tcPr>
          <w:p>
            <w:r>
              <w:rPr>
                <w:rFonts w:ascii="Arial" w:hAnsi="Arial"/>
                <w:b/>
                <w:i w:val="0"/>
                <w:color w:val="FFFFFF"/>
                <w:sz w:val="17"/>
              </w:rPr>
              <w:t>Valeur</w:t>
            </w:r>
          </w:p>
        </w:tc>
      </w:tr>
      <w:tr>
        <w:tc>
          <w:tcPr>
            <w:tcW w:type="dxa" w:w="5100"/>
            <w:shd w:val="clear" w:color="auto" w:fill="F8FAFC"/>
          </w:tcPr>
          <w:p>
            <w:r>
              <w:rPr>
                <w:rFonts w:ascii="Arial" w:hAnsi="Arial"/>
                <w:b/>
                <w:i w:val="0"/>
                <w:color w:val="0F2540"/>
                <w:sz w:val="18"/>
              </w:rPr>
              <w:t>Cours actuel</w:t>
            </w:r>
          </w:p>
        </w:tc>
        <w:tc>
          <w:tcPr>
            <w:tcW w:type="dxa" w:w="5100"/>
            <w:shd w:val="clear" w:color="auto" w:fill="F8FAFC"/>
          </w:tcPr>
          <w:p>
            <w:r>
              <w:rPr>
                <w:rFonts w:ascii="Arial" w:hAnsi="Arial"/>
                <w:b w:val="0"/>
                <w:i w:val="0"/>
                <w:color w:val="333333"/>
                <w:sz w:val="18"/>
              </w:rPr>
              <w:t>35.0€</w:t>
            </w:r>
          </w:p>
        </w:tc>
      </w:tr>
      <w:tr>
        <w:tc>
          <w:tcPr>
            <w:tcW w:type="dxa" w:w="5100"/>
            <w:shd w:val="clear" w:color="auto" w:fill="DCFCE7"/>
          </w:tcPr>
          <w:p>
            <w:r>
              <w:rPr>
                <w:rFonts w:ascii="Arial" w:hAnsi="Arial"/>
                <w:b/>
                <w:i w:val="0"/>
                <w:color w:val="16A34A"/>
                <w:sz w:val="18"/>
              </w:rPr>
              <w:t>Zone achat [el–eh]</w:t>
            </w:r>
          </w:p>
        </w:tc>
        <w:tc>
          <w:tcPr>
            <w:tcW w:type="dxa" w:w="5100"/>
            <w:shd w:val="clear" w:color="auto" w:fill="DCFCE7"/>
          </w:tcPr>
          <w:p>
            <w:r>
              <w:rPr>
                <w:rFonts w:ascii="Arial" w:hAnsi="Arial"/>
                <w:b w:val="0"/>
                <w:i w:val="0"/>
                <w:color w:val="333333"/>
                <w:sz w:val="18"/>
              </w:rPr>
              <w:t>30.0€ – 38.0€  ✅ EN ZONE</w:t>
            </w:r>
          </w:p>
        </w:tc>
      </w:tr>
      <w:tr>
        <w:tc>
          <w:tcPr>
            <w:tcW w:type="dxa" w:w="5100"/>
            <w:shd w:val="clear" w:color="auto" w:fill="FEE2E2"/>
          </w:tcPr>
          <w:p>
            <w:r>
              <w:rPr>
                <w:rFonts w:ascii="Arial" w:hAnsi="Arial"/>
                <w:b/>
                <w:i w:val="0"/>
                <w:color w:val="DC2626"/>
                <w:sz w:val="18"/>
              </w:rPr>
              <w:t>Stop Loss</w:t>
            </w:r>
          </w:p>
        </w:tc>
        <w:tc>
          <w:tcPr>
            <w:tcW w:type="dxa" w:w="5100"/>
            <w:shd w:val="clear" w:color="auto" w:fill="FEE2E2"/>
          </w:tcPr>
          <w:p>
            <w:r>
              <w:rPr>
                <w:rFonts w:ascii="Arial" w:hAnsi="Arial"/>
                <w:b w:val="0"/>
                <w:i w:val="0"/>
                <w:color w:val="333333"/>
                <w:sz w:val="18"/>
              </w:rPr>
              <w:t>27.0€  (22.9% de marge)</w:t>
            </w:r>
          </w:p>
        </w:tc>
      </w:tr>
      <w:tr>
        <w:tc>
          <w:tcPr>
            <w:tcW w:type="dxa" w:w="5100"/>
            <w:shd w:val="clear" w:color="auto" w:fill="DCFCE7"/>
          </w:tcPr>
          <w:p>
            <w:r>
              <w:rPr>
                <w:rFonts w:ascii="Arial" w:hAnsi="Arial"/>
                <w:b/>
                <w:i w:val="0"/>
                <w:color w:val="16A34A"/>
                <w:sz w:val="18"/>
              </w:rPr>
              <w:t>Objectif 1</w:t>
            </w:r>
          </w:p>
        </w:tc>
        <w:tc>
          <w:tcPr>
            <w:tcW w:type="dxa" w:w="5100"/>
            <w:shd w:val="clear" w:color="auto" w:fill="DCFCE7"/>
          </w:tcPr>
          <w:p>
            <w:r>
              <w:rPr>
                <w:rFonts w:ascii="Arial" w:hAnsi="Arial"/>
                <w:b w:val="0"/>
                <w:i w:val="0"/>
                <w:color w:val="333333"/>
                <w:sz w:val="18"/>
              </w:rPr>
              <w:t>45.0€  (+28.6%)</w:t>
            </w:r>
          </w:p>
        </w:tc>
      </w:tr>
      <w:tr>
        <w:tc>
          <w:tcPr>
            <w:tcW w:type="dxa" w:w="5100"/>
            <w:shd w:val="clear" w:color="auto" w:fill="EFF6FF"/>
          </w:tcPr>
          <w:p>
            <w:r>
              <w:rPr>
                <w:rFonts w:ascii="Arial" w:hAnsi="Arial"/>
                <w:b/>
                <w:i w:val="0"/>
                <w:color w:val="1D4ED8"/>
                <w:sz w:val="18"/>
              </w:rPr>
              <w:t>DCF Médian</w:t>
            </w:r>
          </w:p>
        </w:tc>
        <w:tc>
          <w:tcPr>
            <w:tcW w:type="dxa" w:w="5100"/>
            <w:shd w:val="clear" w:color="auto" w:fill="EFF6FF"/>
          </w:tcPr>
          <w:p>
            <w:r>
              <w:rPr>
                <w:rFonts w:ascii="Arial" w:hAnsi="Arial"/>
                <w:b w:val="0"/>
                <w:i w:val="0"/>
                <w:color w:val="333333"/>
                <w:sz w:val="18"/>
              </w:rPr>
              <w:t>42.0€  (upside +20.0%)</w:t>
            </w:r>
          </w:p>
        </w:tc>
      </w:tr>
      <w:tr>
        <w:tc>
          <w:tcPr>
            <w:tcW w:type="dxa" w:w="5100"/>
            <w:shd w:val="clear" w:color="auto" w:fill="DCFCE7"/>
          </w:tcPr>
          <w:p>
            <w:r>
              <w:rPr>
                <w:rFonts w:ascii="Arial" w:hAnsi="Arial"/>
                <w:b/>
                <w:i w:val="0"/>
                <w:color w:val="16A34A"/>
                <w:sz w:val="18"/>
              </w:rPr>
              <w:t>R/R</w:t>
            </w:r>
          </w:p>
        </w:tc>
        <w:tc>
          <w:tcPr>
            <w:tcW w:type="dxa" w:w="5100"/>
            <w:shd w:val="clear" w:color="auto" w:fill="DCFCE7"/>
          </w:tcPr>
          <w:p>
            <w:r>
              <w:rPr>
                <w:rFonts w:ascii="Arial" w:hAnsi="Arial"/>
                <w:b w:val="0"/>
                <w:i w:val="0"/>
                <w:color w:val="333333"/>
                <w:sz w:val="18"/>
              </w:rPr>
              <w:t>1.2x  ⚠️ limite</w:t>
            </w:r>
          </w:p>
        </w:tc>
      </w:tr>
    </w:tbl>
    <w:p>
      <w:pPr>
        <w:spacing w:after="40"/>
      </w:pPr>
    </w:p>
    <w:tbl>
      <w:tblPr>
        <w:tblStyle w:val="TableGrid"/>
        <w:tblW w:type="auto" w:w="0"/>
        <w:tblLook w:firstColumn="1" w:firstRow="1" w:lastColumn="0" w:lastRow="0" w:noHBand="0" w:noVBand="1" w:val="04A0"/>
      </w:tblPr>
      <w:tblGrid>
        <w:gridCol w:w="2550"/>
        <w:gridCol w:w="2550"/>
        <w:gridCol w:w="2550"/>
        <w:gridCol w:w="2550"/>
      </w:tblGrid>
      <w:tr>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c>
          <w:tcPr>
            <w:tcW w:type="dxa" w:w="2550"/>
            <w:shd w:val="clear" w:color="auto" w:fill="0F2540"/>
          </w:tcPr>
          <w:p>
            <w:r>
              <w:rPr>
                <w:rFonts w:ascii="Arial" w:hAnsi="Arial"/>
                <w:b/>
                <w:i w:val="0"/>
                <w:color w:val="FFFFFF"/>
                <w:sz w:val="16"/>
              </w:rPr>
              <w:t>Ratio</w:t>
            </w:r>
          </w:p>
        </w:tc>
        <w:tc>
          <w:tcPr>
            <w:tcW w:type="dxa" w:w="2550"/>
            <w:shd w:val="clear" w:color="auto" w:fill="0F2540"/>
          </w:tcPr>
          <w:p>
            <w:r>
              <w:rPr>
                <w:rFonts w:ascii="Arial" w:hAnsi="Arial"/>
                <w:b/>
                <w:i w:val="0"/>
                <w:color w:val="FFFFFF"/>
                <w:sz w:val="16"/>
              </w:rPr>
              <w:t>Valeur</w:t>
            </w:r>
          </w:p>
        </w:tc>
      </w:tr>
      <w:tr>
        <w:tc>
          <w:tcPr>
            <w:tcW w:type="dxa" w:w="2550"/>
            <w:shd w:val="clear" w:color="auto" w:fill="EFF6FF"/>
          </w:tcPr>
          <w:p>
            <w:r>
              <w:rPr>
                <w:rFonts w:ascii="Arial" w:hAnsi="Arial"/>
                <w:b/>
                <w:i w:val="0"/>
                <w:color w:val="0F2540"/>
                <w:sz w:val="17"/>
              </w:rPr>
              <w:t>ROE</w:t>
            </w:r>
          </w:p>
        </w:tc>
        <w:tc>
          <w:tcPr>
            <w:tcW w:type="dxa" w:w="2550"/>
            <w:shd w:val="clear" w:color="auto" w:fill="FAFAFA"/>
          </w:tcPr>
          <w:p>
            <w:r>
              <w:rPr>
                <w:rFonts w:ascii="Arial" w:hAnsi="Arial"/>
                <w:b w:val="0"/>
                <w:i w:val="0"/>
                <w:color w:val="333333"/>
                <w:sz w:val="17"/>
              </w:rPr>
              <w:t>17.0%</w:t>
            </w:r>
          </w:p>
        </w:tc>
        <w:tc>
          <w:tcPr>
            <w:tcW w:type="dxa" w:w="2550"/>
            <w:shd w:val="clear" w:color="auto" w:fill="EFF6FF"/>
          </w:tcPr>
          <w:p>
            <w:r>
              <w:rPr>
                <w:rFonts w:ascii="Arial" w:hAnsi="Arial"/>
                <w:b/>
                <w:i w:val="0"/>
                <w:color w:val="0F2540"/>
                <w:sz w:val="17"/>
              </w:rPr>
              <w:t>Marge</w:t>
            </w:r>
          </w:p>
        </w:tc>
        <w:tc>
          <w:tcPr>
            <w:tcW w:type="dxa" w:w="2550"/>
            <w:shd w:val="clear" w:color="auto" w:fill="FAFAFA"/>
          </w:tcPr>
          <w:p>
            <w:r>
              <w:rPr>
                <w:rFonts w:ascii="Arial" w:hAnsi="Arial"/>
                <w:b w:val="0"/>
                <w:i w:val="0"/>
                <w:color w:val="333333"/>
                <w:sz w:val="17"/>
              </w:rPr>
              <w:t>4.0%</w:t>
            </w:r>
          </w:p>
        </w:tc>
      </w:tr>
      <w:tr>
        <w:tc>
          <w:tcPr>
            <w:tcW w:type="dxa" w:w="2550"/>
            <w:shd w:val="clear" w:color="auto" w:fill="EFF6FF"/>
          </w:tcPr>
          <w:p>
            <w:r>
              <w:rPr>
                <w:rFonts w:ascii="Arial" w:hAnsi="Arial"/>
                <w:b/>
                <w:i w:val="0"/>
                <w:color w:val="0F2540"/>
                <w:sz w:val="17"/>
              </w:rPr>
              <w:t>FCF</w:t>
            </w:r>
          </w:p>
        </w:tc>
        <w:tc>
          <w:tcPr>
            <w:tcW w:type="dxa" w:w="2550"/>
            <w:shd w:val="clear" w:color="auto" w:fill="FAFAFA"/>
          </w:tcPr>
          <w:p>
            <w:r>
              <w:rPr>
                <w:rFonts w:ascii="Arial" w:hAnsi="Arial"/>
                <w:b w:val="0"/>
                <w:i w:val="0"/>
                <w:color w:val="333333"/>
                <w:sz w:val="17"/>
              </w:rPr>
              <w:t>7.5%</w:t>
            </w:r>
          </w:p>
        </w:tc>
        <w:tc>
          <w:tcPr>
            <w:tcW w:type="dxa" w:w="2550"/>
            <w:shd w:val="clear" w:color="auto" w:fill="EFF6FF"/>
          </w:tcPr>
          <w:p>
            <w:r>
              <w:rPr>
                <w:rFonts w:ascii="Arial" w:hAnsi="Arial"/>
                <w:b/>
                <w:i w:val="0"/>
                <w:color w:val="0F2540"/>
                <w:sz w:val="17"/>
              </w:rPr>
              <w:t>Piotroski</w:t>
            </w:r>
          </w:p>
        </w:tc>
        <w:tc>
          <w:tcPr>
            <w:tcW w:type="dxa" w:w="2550"/>
            <w:shd w:val="clear" w:color="auto" w:fill="DCFCE7"/>
          </w:tcPr>
          <w:p>
            <w:r>
              <w:rPr>
                <w:rFonts w:ascii="Arial" w:hAnsi="Arial"/>
                <w:b/>
                <w:i w:val="0"/>
                <w:color w:val="16A34A"/>
                <w:sz w:val="17"/>
              </w:rPr>
              <w:t>8/9</w:t>
            </w:r>
          </w:p>
        </w:tc>
      </w:tr>
      <w:tr>
        <w:tc>
          <w:tcPr>
            <w:tcW w:type="dxa" w:w="2550"/>
            <w:shd w:val="clear" w:color="auto" w:fill="EFF6FF"/>
          </w:tcPr>
          <w:p>
            <w:r>
              <w:rPr>
                <w:rFonts w:ascii="Arial" w:hAnsi="Arial"/>
                <w:b/>
                <w:i w:val="0"/>
                <w:color w:val="0F2540"/>
                <w:sz w:val="17"/>
              </w:rPr>
              <w:t>Dette</w:t>
            </w:r>
          </w:p>
        </w:tc>
        <w:tc>
          <w:tcPr>
            <w:tcW w:type="dxa" w:w="2550"/>
            <w:shd w:val="clear" w:color="auto" w:fill="FAFAFA"/>
          </w:tcPr>
          <w:p>
            <w:r>
              <w:rPr>
                <w:rFonts w:ascii="Arial" w:hAnsi="Arial"/>
                <w:b w:val="0"/>
                <w:i w:val="0"/>
                <w:color w:val="333333"/>
                <w:sz w:val="17"/>
              </w:rPr>
              <w:t>0.4x</w:t>
            </w:r>
          </w:p>
        </w:tc>
        <w:tc>
          <w:tcPr>
            <w:tcW w:type="dxa" w:w="2550"/>
            <w:shd w:val="clear" w:color="auto" w:fill="EFF6FF"/>
          </w:tcPr>
          <w:p>
            <w:r>
              <w:rPr>
                <w:rFonts w:ascii="Arial" w:hAnsi="Arial"/>
                <w:b/>
                <w:i w:val="0"/>
                <w:color w:val="0F2540"/>
                <w:sz w:val="17"/>
              </w:rPr>
              <w:t>PE</w:t>
            </w:r>
          </w:p>
        </w:tc>
        <w:tc>
          <w:tcPr>
            <w:tcW w:type="dxa" w:w="2550"/>
            <w:shd w:val="clear" w:color="auto" w:fill="FAFAFA"/>
          </w:tcPr>
          <w:p>
            <w:r>
              <w:rPr>
                <w:rFonts w:ascii="Arial" w:hAnsi="Arial"/>
                <w:b w:val="0"/>
                <w:i w:val="0"/>
                <w:color w:val="333333"/>
                <w:sz w:val="17"/>
              </w:rPr>
              <w:t>9.0x</w:t>
            </w:r>
          </w:p>
        </w:tc>
      </w:tr>
      <w:tr>
        <w:tc>
          <w:tcPr>
            <w:tcW w:type="dxa" w:w="2550"/>
            <w:shd w:val="clear" w:color="auto" w:fill="EFF6FF"/>
          </w:tcPr>
          <w:p>
            <w:r>
              <w:rPr>
                <w:rFonts w:ascii="Arial" w:hAnsi="Arial"/>
                <w:b/>
                <w:i w:val="0"/>
                <w:color w:val="0F2540"/>
                <w:sz w:val="17"/>
              </w:rPr>
              <w:t>RSI</w:t>
            </w:r>
          </w:p>
        </w:tc>
        <w:tc>
          <w:tcPr>
            <w:tcW w:type="dxa" w:w="2550"/>
            <w:shd w:val="clear" w:color="auto" w:fill="DCFCE7"/>
          </w:tcPr>
          <w:p>
            <w:r>
              <w:rPr>
                <w:rFonts w:ascii="Arial" w:hAnsi="Arial"/>
                <w:b w:val="0"/>
                <w:i w:val="0"/>
                <w:color w:val="16A34A"/>
                <w:sz w:val="17"/>
              </w:rPr>
              <w:t>50 ✅</w:t>
            </w:r>
          </w:p>
        </w:tc>
        <w:tc>
          <w:tcPr>
            <w:tcW w:type="dxa" w:w="2550"/>
            <w:shd w:val="clear" w:color="auto" w:fill="EFF6FF"/>
          </w:tcPr>
          <w:p>
            <w:r>
              <w:rPr>
                <w:rFonts w:ascii="Arial" w:hAnsi="Arial"/>
                <w:b/>
                <w:i w:val="0"/>
                <w:color w:val="0F2540"/>
                <w:sz w:val="17"/>
              </w:rPr>
              <w:t>MM200</w:t>
            </w:r>
          </w:p>
        </w:tc>
        <w:tc>
          <w:tcPr>
            <w:tcW w:type="dxa" w:w="2550"/>
            <w:shd w:val="clear" w:color="auto" w:fill="FFFBEB"/>
          </w:tcPr>
          <w:p>
            <w:r>
              <w:rPr>
                <w:rFonts w:ascii="Arial" w:hAnsi="Arial"/>
                <w:b w:val="0"/>
                <w:i w:val="0"/>
                <w:color w:val="D97706"/>
                <w:sz w:val="17"/>
              </w:rPr>
              <w:t>⚠️</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0F2540"/>
          </w:tcPr>
          <w:p>
            <w:r>
              <w:rPr>
                <w:rFonts w:ascii="Arial" w:hAnsi="Arial"/>
                <w:b/>
                <w:i w:val="0"/>
                <w:color w:val="FFFFFF"/>
                <w:sz w:val="17"/>
              </w:rPr>
              <w:t>Dimension QARP</w:t>
            </w:r>
          </w:p>
        </w:tc>
        <w:tc>
          <w:tcPr>
            <w:tcW w:type="dxa" w:w="5100"/>
            <w:shd w:val="clear" w:color="auto" w:fill="0F2540"/>
          </w:tcPr>
          <w:p>
            <w:r>
              <w:rPr>
                <w:rFonts w:ascii="Arial" w:hAnsi="Arial"/>
                <w:b/>
                <w:i w:val="0"/>
                <w:color w:val="FFFFFF"/>
                <w:sz w:val="17"/>
              </w:rPr>
              <w:t>Score</w:t>
            </w:r>
          </w:p>
        </w:tc>
      </w:tr>
      <w:tr>
        <w:tc>
          <w:tcPr>
            <w:tcW w:type="dxa" w:w="5100"/>
            <w:shd w:val="clear" w:color="auto" w:fill="EFF6FF"/>
          </w:tcPr>
          <w:p>
            <w:r>
              <w:rPr>
                <w:rFonts w:ascii="Arial" w:hAnsi="Arial"/>
                <w:b/>
                <w:i w:val="0"/>
                <w:color w:val="0F2540"/>
                <w:sz w:val="18"/>
              </w:rPr>
              <w:t>Qualité (ROE + MOAT)</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Rentabilité (Marge + FCF)</w:t>
            </w:r>
          </w:p>
        </w:tc>
        <w:tc>
          <w:tcPr>
            <w:tcW w:type="dxa" w:w="5100"/>
            <w:shd w:val="clear" w:color="auto" w:fill="FAFAFA"/>
          </w:tcPr>
          <w:p>
            <w:r>
              <w:rPr>
                <w:rFonts w:ascii="Arial" w:hAnsi="Arial"/>
                <w:b w:val="0"/>
                <w:i w:val="0"/>
                <w:color w:val="333333"/>
                <w:sz w:val="18"/>
              </w:rPr>
              <w:t>5/20</w:t>
            </w:r>
          </w:p>
        </w:tc>
      </w:tr>
      <w:tr>
        <w:tc>
          <w:tcPr>
            <w:tcW w:type="dxa" w:w="5100"/>
            <w:shd w:val="clear" w:color="auto" w:fill="EFF6FF"/>
          </w:tcPr>
          <w:p>
            <w:r>
              <w:rPr>
                <w:rFonts w:ascii="Arial" w:hAnsi="Arial"/>
                <w:b/>
                <w:i w:val="0"/>
                <w:color w:val="0F2540"/>
                <w:sz w:val="18"/>
              </w:rPr>
              <w:t>Bilan (Piotroski + Dette)</w:t>
            </w:r>
          </w:p>
        </w:tc>
        <w:tc>
          <w:tcPr>
            <w:tcW w:type="dxa" w:w="5100"/>
            <w:shd w:val="clear" w:color="auto" w:fill="FAFAFA"/>
          </w:tcPr>
          <w:p>
            <w:r>
              <w:rPr>
                <w:rFonts w:ascii="Arial" w:hAnsi="Arial"/>
                <w:b w:val="0"/>
                <w:i w:val="0"/>
                <w:color w:val="333333"/>
                <w:sz w:val="18"/>
              </w:rPr>
              <w:t>20/20</w:t>
            </w:r>
          </w:p>
        </w:tc>
      </w:tr>
      <w:tr>
        <w:tc>
          <w:tcPr>
            <w:tcW w:type="dxa" w:w="5100"/>
            <w:shd w:val="clear" w:color="auto" w:fill="EFF6FF"/>
          </w:tcPr>
          <w:p>
            <w:r>
              <w:rPr>
                <w:rFonts w:ascii="Arial" w:hAnsi="Arial"/>
                <w:b/>
                <w:i w:val="0"/>
                <w:color w:val="0F2540"/>
                <w:sz w:val="18"/>
              </w:rPr>
              <w:t>Valorisation (Upside DCF)</w:t>
            </w:r>
          </w:p>
        </w:tc>
        <w:tc>
          <w:tcPr>
            <w:tcW w:type="dxa" w:w="5100"/>
            <w:shd w:val="clear" w:color="auto" w:fill="FAFAFA"/>
          </w:tcPr>
          <w:p>
            <w:r>
              <w:rPr>
                <w:rFonts w:ascii="Arial" w:hAnsi="Arial"/>
                <w:b w:val="0"/>
                <w:i w:val="0"/>
                <w:color w:val="333333"/>
                <w:sz w:val="18"/>
              </w:rPr>
              <w:t>15/20</w:t>
            </w:r>
          </w:p>
        </w:tc>
      </w:tr>
      <w:tr>
        <w:tc>
          <w:tcPr>
            <w:tcW w:type="dxa" w:w="5100"/>
            <w:shd w:val="clear" w:color="auto" w:fill="EFF6FF"/>
          </w:tcPr>
          <w:p>
            <w:r>
              <w:rPr>
                <w:rFonts w:ascii="Arial" w:hAnsi="Arial"/>
                <w:b/>
                <w:i w:val="0"/>
                <w:color w:val="0F2540"/>
                <w:sz w:val="18"/>
              </w:rPr>
              <w:t>Momentum (Zone + MM200 + RSI)</w:t>
            </w:r>
          </w:p>
        </w:tc>
        <w:tc>
          <w:tcPr>
            <w:tcW w:type="dxa" w:w="5100"/>
            <w:shd w:val="clear" w:color="auto" w:fill="FAFAFA"/>
          </w:tcPr>
          <w:p>
            <w:r>
              <w:rPr>
                <w:rFonts w:ascii="Arial" w:hAnsi="Arial"/>
                <w:b w:val="0"/>
                <w:i w:val="0"/>
                <w:color w:val="333333"/>
                <w:sz w:val="18"/>
              </w:rPr>
              <w:t>15/20</w:t>
            </w:r>
          </w:p>
        </w:tc>
      </w:tr>
      <w:tr>
        <w:tc>
          <w:tcPr>
            <w:tcW w:type="dxa" w:w="5100"/>
            <w:shd w:val="clear" w:color="auto" w:fill="DCFCE7"/>
          </w:tcPr>
          <w:p>
            <w:r>
              <w:rPr>
                <w:rFonts w:ascii="Arial" w:hAnsi="Arial"/>
                <w:b/>
                <w:i w:val="0"/>
                <w:color w:val="16A34A"/>
                <w:sz w:val="18"/>
              </w:rPr>
              <w:t>SCORE TOTAL</w:t>
            </w:r>
          </w:p>
        </w:tc>
        <w:tc>
          <w:tcPr>
            <w:tcW w:type="dxa" w:w="5100"/>
            <w:shd w:val="clear" w:color="auto" w:fill="DCFCE7"/>
          </w:tcPr>
          <w:p>
            <w:r>
              <w:rPr>
                <w:rFonts w:ascii="Arial" w:hAnsi="Arial"/>
                <w:b w:val="0"/>
                <w:i w:val="0"/>
                <w:color w:val="333333"/>
                <w:sz w:val="18"/>
              </w:rPr>
              <w:t>70/100</w:t>
            </w:r>
          </w:p>
        </w:tc>
      </w:tr>
    </w:tbl>
    <w:p>
      <w:pPr>
        <w:spacing w:after="60"/>
      </w:pPr>
    </w:p>
    <w:tbl>
      <w:tblPr>
        <w:tblStyle w:val="TableGrid"/>
        <w:tblW w:type="auto" w:w="0"/>
        <w:tblLook w:firstColumn="1" w:firstRow="1" w:lastColumn="0" w:lastRow="0" w:noHBand="0" w:noVBand="1" w:val="04A0"/>
      </w:tblPr>
      <w:tblGrid>
        <w:gridCol w:w="5100"/>
        <w:gridCol w:w="5100"/>
      </w:tblGrid>
      <w:tr>
        <w:tc>
          <w:tcPr>
            <w:tcW w:type="dxa" w:w="5100"/>
            <w:shd w:val="clear" w:color="auto" w:fill="16A34A"/>
          </w:tcPr>
          <w:p>
            <w:r>
              <w:rPr>
                <w:rFonts w:ascii="Arial" w:hAnsi="Arial"/>
                <w:b/>
                <w:i w:val="0"/>
                <w:color w:val="FFFFFF"/>
                <w:sz w:val="17"/>
              </w:rPr>
              <w:t>✅ Thèse haussière</w:t>
            </w:r>
          </w:p>
        </w:tc>
        <w:tc>
          <w:tcPr>
            <w:tcW w:type="dxa" w:w="5100"/>
            <w:shd w:val="clear" w:color="auto" w:fill="DC2626"/>
          </w:tcPr>
          <w:p>
            <w:r>
              <w:rPr>
                <w:rFonts w:ascii="Arial" w:hAnsi="Arial"/>
                <w:b/>
                <w:i w:val="0"/>
                <w:color w:val="FFFFFF"/>
                <w:sz w:val="17"/>
              </w:rPr>
              <w:t>❌ Risques</w:t>
            </w:r>
          </w:p>
        </w:tc>
      </w:tr>
      <w:tr>
        <w:tc>
          <w:tcPr>
            <w:tcW w:type="dxa" w:w="5100"/>
            <w:shd w:val="clear" w:color="auto" w:fill="F0FDF4"/>
          </w:tcPr>
          <w:p>
            <w:r>
              <w:rPr>
                <w:rFonts w:ascii="Arial" w:hAnsi="Arial"/>
                <w:b w:val="0"/>
                <w:i w:val="0"/>
                <w:color w:val="1A4730"/>
                <w:sz w:val="17"/>
              </w:rPr>
              <w:t>Deuxieme entree Clasquin pour le fret aerien specifiquement — marche different du maritime. Le fret aerien est premium et resilient. A 9x PE avec 5% dividende et ROE 17%. Famille fondatrice lyonnaise depuis 40 ans.</w:t>
            </w:r>
          </w:p>
        </w:tc>
        <w:tc>
          <w:tcPr>
            <w:tcW w:type="dxa" w:w="5100"/>
            <w:shd w:val="clear" w:color="auto" w:fill="FFF5F5"/>
          </w:tcPr>
          <w:p>
            <w:r>
              <w:rPr>
                <w:rFonts w:ascii="Arial" w:hAnsi="Arial"/>
                <w:b w:val="0"/>
                <w:i w:val="0"/>
                <w:color w:val="7C2C2C"/>
                <w:sz w:val="17"/>
              </w:rPr>
              <w:t>Tres peu liquide. Cyclicite fret. Normalisation post-COVID pese sur les marges.</w:t>
            </w:r>
          </w:p>
        </w:tc>
      </w:tr>
    </w:tbl>
    <w:p>
      <w:pPr>
        <w:spacing w:after="60"/>
      </w:pPr>
    </w:p>
    <w:tbl>
      <w:tblPr>
        <w:tblStyle w:val="TableGrid"/>
        <w:tblW w:type="auto" w:w="0"/>
        <w:tblLook w:firstColumn="1" w:firstRow="1" w:lastColumn="0" w:lastRow="0" w:noHBand="0" w:noVBand="1" w:val="04A0"/>
      </w:tblPr>
      <w:tblGrid>
        <w:gridCol w:w="10200"/>
      </w:tblGrid>
      <w:tr>
        <w:tc>
          <w:tcPr>
            <w:tcW w:type="dxa" w:w="10200"/>
            <w:shd w:val="clear" w:color="auto" w:fill="DCFCE7"/>
            <w:tcBorders>
              <w:top w:val="single" w:sz="4" w:color="16A34A"/>
              <w:bottom w:val="single" w:sz="4" w:color="16A34A"/>
              <w:left w:val="single" w:sz="20" w:color="16A34A"/>
              <w:right w:val="single" w:sz="4" w:color="16A34A"/>
            </w:tcBorders>
          </w:tcPr>
          <w:p>
            <w:pPr>
              <w:spacing w:before="120" w:after="40"/>
            </w:pPr>
            <w:r>
              <w:rPr>
                <w:rFonts w:ascii="Arial" w:hAnsi="Arial"/>
                <w:b/>
                <w:i w:val="0"/>
                <w:color w:val="16A34A"/>
                <w:sz w:val="22"/>
              </w:rPr>
              <w:t xml:space="preserve">✅ SIGNAL D'ACHAT VALIDÉ — Protocole à appliquer  </w:t>
            </w:r>
          </w:p>
          <w:p>
            <w:pPr>
              <w:spacing w:before="40" w:after="120"/>
            </w:pPr>
            <w:r>
              <w:rPr>
                <w:rFonts w:ascii="Arial" w:hAnsi="Arial"/>
                <w:b w:val="0"/>
                <w:i w:val="0"/>
                <w:color w:val="333333"/>
                <w:sz w:val="18"/>
              </w:rPr>
              <w:t>Grade A + Score 70/100 + en zone d'achat. R/R 1.2x. Upside DCF +20.0%. Appliquer le protocole du dimanche avant tout passage d'ordre. Taille max : 8% du PEA. Stop loss : 27.0€.</w:t>
            </w:r>
          </w:p>
        </w:tc>
      </w:tr>
    </w:tbl>
    <w:p>
      <w:pPr>
        <w:spacing w:after="40"/>
      </w:pPr>
    </w:p>
    <w:p/>
    <w:p>
      <w:pPr>
        <w:jc w:val="center"/>
      </w:pPr>
      <w:r>
        <w:rPr>
          <w:i/>
          <w:color w:val="999999"/>
          <w:sz w:val="16"/>
        </w:rPr>
        <w:t>VAL.PEA · Signaux du dimanche · 17 mai 2026 · Non-conseil en investissement</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