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12 juin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11579€  |  Investi : 10776€  |  PV/MV : +803€ (+7.5%)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26.60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+40.4%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+344€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63/100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182.70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-13.7%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-87€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1697.00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-5.5%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-198€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168.30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+5.6%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+90€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82/100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133.55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-4.1%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-28€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265.30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+10.2%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+172€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234.70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-1.0%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76.38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+51.2%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+517€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80/100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16A34A"/>
          <w:sz w:val="20"/>
        </w:rPr>
        <w:t>Suggestion de réallocation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Cash disponible ~344€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Opportunité de réallocation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EL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185.0-222.0€ · R/R 3.7x · Upside +34.1%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AI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172.0-195.0€ · R/R 4.0x · Upside +21.8%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LR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132.0-158.0€ · R/R 2.5x · Upside +28.8%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63/100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+40.4%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+344€  |  val. 1197€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26.6€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(36.1%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(+5.3%)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5.3%)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5.3%)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(40.4%).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-13.7%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-87€  |  val. 548€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182.7€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(9.7%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(+35.7%)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34.1%)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3.7x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3.7x ≥ 2x. Score 77/100. Conditions réunies pour un renforcement ciblé (max +3% du PEA). Stop à 165.0€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-5.5%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-198€  |  val. 3394€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1697.0€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(18.7%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(+14.9%)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17.9%)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0.8x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MV de -5.5%.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82/100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+5.6%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+90€  |  val. 1683€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168.3€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(6.1%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(+24.8%)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21.8%)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4.0x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4.0x ≥ 2x. Score 82/100. Conditions réunies pour un renforcement ciblé (max +3% du PEA). Stop à 158.0€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-4.1%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-28€  |  val. 668€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133.55€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(11.6%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(+28.8%)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28.8%)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2.5x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2.5x ≥ 2x. Score 90/100. Conditions réunies pour un renforcement ciblé (max +3% du PEA). Stop à 118.0€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+10.2%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+172€  |  val. 1857€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265.3€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(20.8%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(+15.0%)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18.7%)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0.7x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10.2%.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-1.0%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-7€  |  val. 704€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234.7€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(12.7%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(+25.7%)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30.0%)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2.0x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2.0x ≥ 2x. Score 90/100. Conditions réunies pour un renforcement ciblé (max +3% du PEA). Stop à 205.0€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80/100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+51.2%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+517€  |  val. 1528€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76.38€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(18.2%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(+26.5%)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30.3%)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1.5x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1.5x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12 juin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