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/>
        <w:jc w:val="center"/>
      </w:pPr>
      <w:r>
        <w:rPr>
          <w:rFonts w:ascii="Arial" w:hAnsi="Arial"/>
          <w:b/>
          <w:i w:val="0"/>
          <w:color w:val="6B7B8D"/>
          <w:sz w:val="22"/>
        </w:rPr>
        <w:t>VAL.PEA — REVUE DE PORTEFEUILLE</w:t>
      </w:r>
    </w:p>
    <w:p>
      <w:pPr>
        <w:spacing w:before="440"/>
        <w:jc w:val="center"/>
      </w:pPr>
      <w:r>
        <w:rPr>
          <w:rFonts w:ascii="Georgia" w:hAnsi="Georgia"/>
          <w:b/>
          <w:i w:val="0"/>
          <w:color w:val="0F2540"/>
          <w:sz w:val="48"/>
        </w:rPr>
        <w:t>Vendredi 08 mai 2026</w:t>
      </w:r>
    </w:p>
    <w:p>
      <w:pPr>
        <w:spacing w:before="80"/>
        <w:jc w:val="center"/>
      </w:pPr>
      <w:r>
        <w:rPr>
          <w:rFonts w:ascii="Arial" w:hAnsi="Arial"/>
          <w:b/>
          <w:i w:val="0"/>
          <w:color w:val="1A3A5C"/>
          <w:sz w:val="22"/>
        </w:rPr>
        <w:t>8 positions · Fiches individuelles · Avis détaillés</w:t>
      </w:r>
    </w:p>
    <w:p>
      <w:pPr>
        <w:spacing w:before="80"/>
        <w:jc w:val="center"/>
      </w:pPr>
      <w:r>
        <w:rPr>
          <w:rFonts w:ascii="Arial" w:hAnsi="Arial"/>
          <w:b w:val="0"/>
          <w:i/>
          <w:color w:val="888888"/>
          <w:sz w:val="18"/>
        </w:rPr>
        <w:t>Cours de clôture · Analyse géopolitique · Non-conseil</w:t>
      </w:r>
    </w:p>
    <w:p>
      <w:pPr>
        <w:spacing w:after="80"/>
      </w:pPr>
    </w:p>
    <w:p>
      <w:pPr>
        <w:spacing w:before="40" w:after="80"/>
      </w:pPr>
      <w:r>
        <w:rPr>
          <w:rFonts w:ascii="Arial" w:hAnsi="Arial"/>
          <w:b/>
          <w:i w:val="0"/>
          <w:color w:val="0F2540"/>
          <w:sz w:val="20"/>
        </w:rPr>
        <w:t>Valorisation : 11700€  |  Investi : 10776€  |  PV/MV : +924€ (+8.6%)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Ticker</w:t>
            </w:r>
          </w:p>
        </w:tc>
        <w:tc>
          <w:tcPr>
            <w:tcW w:type="dxa" w:w="1133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Société</w:t>
            </w:r>
          </w:p>
        </w:tc>
        <w:tc>
          <w:tcPr>
            <w:tcW w:type="dxa" w:w="1133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Qté</w:t>
            </w:r>
          </w:p>
        </w:tc>
        <w:tc>
          <w:tcPr>
            <w:tcW w:type="dxa" w:w="1133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PRU</w:t>
            </w:r>
          </w:p>
        </w:tc>
        <w:tc>
          <w:tcPr>
            <w:tcW w:type="dxa" w:w="1133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Cours</w:t>
            </w:r>
          </w:p>
        </w:tc>
        <w:tc>
          <w:tcPr>
            <w:tcW w:type="dxa" w:w="1133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PV/MV %</w:t>
            </w:r>
          </w:p>
        </w:tc>
        <w:tc>
          <w:tcPr>
            <w:tcW w:type="dxa" w:w="1133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PV/MV €</w:t>
            </w:r>
          </w:p>
        </w:tc>
        <w:tc>
          <w:tcPr>
            <w:tcW w:type="dxa" w:w="1133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1133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Avis</w:t>
            </w:r>
          </w:p>
        </w:tc>
      </w:tr>
      <w:tr>
        <w:tc>
          <w:tcPr>
            <w:tcW w:type="dxa" w:w="1133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6"/>
              </w:rPr>
              <w:t>ELIS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Elis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45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18.95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27.16</w:t>
            </w:r>
          </w:p>
        </w:tc>
        <w:tc>
          <w:tcPr>
            <w:tcW w:type="dxa" w:w="1133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6"/>
              </w:rPr>
              <w:t>+43.3%</w:t>
            </w:r>
          </w:p>
        </w:tc>
        <w:tc>
          <w:tcPr>
            <w:tcW w:type="dxa" w:w="1133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6"/>
              </w:rPr>
              <w:t>+369€</w:t>
            </w:r>
          </w:p>
        </w:tc>
        <w:tc>
          <w:tcPr>
            <w:tcW w:type="dxa" w:w="1133"/>
            <w:shd w:val="clear" w:color="auto" w:fill="F8FAFC"/>
          </w:tcPr>
          <w:p>
            <w:r>
              <w:rPr>
                <w:rFonts w:ascii="Arial" w:hAnsi="Arial"/>
                <w:b/>
                <w:i w:val="0"/>
                <w:color w:val="0F2540"/>
                <w:sz w:val="16"/>
              </w:rPr>
              <w:t>B 60/100</w:t>
            </w:r>
          </w:p>
        </w:tc>
        <w:tc>
          <w:tcPr>
            <w:tcW w:type="dxa" w:w="1133"/>
            <w:shd w:val="clear" w:color="auto" w:fill="FFFBEB"/>
          </w:tcPr>
          <w:p>
            <w:r>
              <w:rPr>
                <w:rFonts w:ascii="Arial" w:hAnsi="Arial"/>
                <w:b/>
                <w:i w:val="0"/>
                <w:color w:val="D97706"/>
                <w:sz w:val="16"/>
              </w:rPr>
              <w:t>⚪ HORS ZONE</w:t>
            </w:r>
          </w:p>
        </w:tc>
      </w:tr>
      <w:tr>
        <w:tc>
          <w:tcPr>
            <w:tcW w:type="dxa" w:w="1133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6"/>
              </w:rPr>
              <w:t>EL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EssilorLuxot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3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211.66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171.40</w:t>
            </w:r>
          </w:p>
        </w:tc>
        <w:tc>
          <w:tcPr>
            <w:tcW w:type="dxa" w:w="1133"/>
            <w:shd w:val="clear" w:color="auto" w:fill="FEE2E2"/>
          </w:tcPr>
          <w:p>
            <w:r>
              <w:rPr>
                <w:rFonts w:ascii="Arial" w:hAnsi="Arial"/>
                <w:b/>
                <w:i w:val="0"/>
                <w:color w:val="DC2626"/>
                <w:sz w:val="16"/>
              </w:rPr>
              <w:t>-19.0%</w:t>
            </w:r>
          </w:p>
        </w:tc>
        <w:tc>
          <w:tcPr>
            <w:tcW w:type="dxa" w:w="1133"/>
            <w:shd w:val="clear" w:color="auto" w:fill="FEE2E2"/>
          </w:tcPr>
          <w:p>
            <w:r>
              <w:rPr>
                <w:rFonts w:ascii="Arial" w:hAnsi="Arial"/>
                <w:b/>
                <w:i w:val="0"/>
                <w:color w:val="DC2626"/>
                <w:sz w:val="16"/>
              </w:rPr>
              <w:t>-121€</w:t>
            </w:r>
          </w:p>
        </w:tc>
        <w:tc>
          <w:tcPr>
            <w:tcW w:type="dxa" w:w="1133"/>
            <w:shd w:val="clear" w:color="auto" w:fill="F8FAFC"/>
          </w:tcPr>
          <w:p>
            <w:r>
              <w:rPr>
                <w:rFonts w:ascii="Arial" w:hAnsi="Arial"/>
                <w:b/>
                <w:i w:val="0"/>
                <w:color w:val="0F2540"/>
                <w:sz w:val="16"/>
              </w:rPr>
              <w:t>B 77/100</w:t>
            </w:r>
          </w:p>
        </w:tc>
        <w:tc>
          <w:tcPr>
            <w:tcW w:type="dxa" w:w="1133"/>
            <w:shd w:val="clear" w:color="auto" w:fill="FEE2E2"/>
          </w:tcPr>
          <w:p>
            <w:r>
              <w:rPr>
                <w:rFonts w:ascii="Arial" w:hAnsi="Arial"/>
                <w:b/>
                <w:i w:val="0"/>
                <w:color w:val="DC2626"/>
                <w:sz w:val="16"/>
              </w:rPr>
              <w:t>STOP PROCHE</w:t>
            </w:r>
          </w:p>
        </w:tc>
      </w:tr>
      <w:tr>
        <w:tc>
          <w:tcPr>
            <w:tcW w:type="dxa" w:w="1133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6"/>
              </w:rPr>
              <w:t>RMS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Hermès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2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1795.95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1661.00</w:t>
            </w:r>
          </w:p>
        </w:tc>
        <w:tc>
          <w:tcPr>
            <w:tcW w:type="dxa" w:w="1133"/>
            <w:shd w:val="clear" w:color="auto" w:fill="FEE2E2"/>
          </w:tcPr>
          <w:p>
            <w:r>
              <w:rPr>
                <w:rFonts w:ascii="Arial" w:hAnsi="Arial"/>
                <w:b/>
                <w:i w:val="0"/>
                <w:color w:val="DC2626"/>
                <w:sz w:val="16"/>
              </w:rPr>
              <w:t>-7.5%</w:t>
            </w:r>
          </w:p>
        </w:tc>
        <w:tc>
          <w:tcPr>
            <w:tcW w:type="dxa" w:w="1133"/>
            <w:shd w:val="clear" w:color="auto" w:fill="FEE2E2"/>
          </w:tcPr>
          <w:p>
            <w:r>
              <w:rPr>
                <w:rFonts w:ascii="Arial" w:hAnsi="Arial"/>
                <w:b/>
                <w:i w:val="0"/>
                <w:color w:val="DC2626"/>
                <w:sz w:val="16"/>
              </w:rPr>
              <w:t>-270€</w:t>
            </w:r>
          </w:p>
        </w:tc>
        <w:tc>
          <w:tcPr>
            <w:tcW w:type="dxa" w:w="1133"/>
            <w:shd w:val="clear" w:color="auto" w:fill="F8FAFC"/>
          </w:tcPr>
          <w:p>
            <w:r>
              <w:rPr>
                <w:rFonts w:ascii="Arial" w:hAnsi="Arial"/>
                <w:b/>
                <w:i w:val="0"/>
                <w:color w:val="0F2540"/>
                <w:sz w:val="16"/>
              </w:rPr>
              <w:t>A 90/100</w:t>
            </w:r>
          </w:p>
        </w:tc>
        <w:tc>
          <w:tcPr>
            <w:tcW w:type="dxa" w:w="1133"/>
            <w:shd w:val="clear" w:color="auto" w:fill="FFFBEB"/>
          </w:tcPr>
          <w:p>
            <w:r>
              <w:rPr>
                <w:rFonts w:ascii="Arial" w:hAnsi="Arial"/>
                <w:b/>
                <w:i w:val="0"/>
                <w:color w:val="D97706"/>
                <w:sz w:val="16"/>
              </w:rPr>
              <w:t>ZONE ACTIVE</w:t>
            </w:r>
          </w:p>
        </w:tc>
      </w:tr>
      <w:tr>
        <w:tc>
          <w:tcPr>
            <w:tcW w:type="dxa" w:w="1133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6"/>
              </w:rPr>
              <w:t>AI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Air Liquide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10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159.31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175.12</w:t>
            </w:r>
          </w:p>
        </w:tc>
        <w:tc>
          <w:tcPr>
            <w:tcW w:type="dxa" w:w="1133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6"/>
              </w:rPr>
              <w:t>+9.9%</w:t>
            </w:r>
          </w:p>
        </w:tc>
        <w:tc>
          <w:tcPr>
            <w:tcW w:type="dxa" w:w="1133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6"/>
              </w:rPr>
              <w:t>+158€</w:t>
            </w:r>
          </w:p>
        </w:tc>
        <w:tc>
          <w:tcPr>
            <w:tcW w:type="dxa" w:w="1133"/>
            <w:shd w:val="clear" w:color="auto" w:fill="F8FAFC"/>
          </w:tcPr>
          <w:p>
            <w:r>
              <w:rPr>
                <w:rFonts w:ascii="Arial" w:hAnsi="Arial"/>
                <w:b/>
                <w:i w:val="0"/>
                <w:color w:val="0F2540"/>
                <w:sz w:val="16"/>
              </w:rPr>
              <w:t>A 82/100</w:t>
            </w:r>
          </w:p>
        </w:tc>
        <w:tc>
          <w:tcPr>
            <w:tcW w:type="dxa" w:w="1133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6"/>
              </w:rPr>
              <w:t>ZONE ACTIVE</w:t>
            </w:r>
          </w:p>
        </w:tc>
      </w:tr>
      <w:tr>
        <w:tc>
          <w:tcPr>
            <w:tcW w:type="dxa" w:w="1133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6"/>
              </w:rPr>
              <w:t>LR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Legrand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5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139.23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156.50</w:t>
            </w:r>
          </w:p>
        </w:tc>
        <w:tc>
          <w:tcPr>
            <w:tcW w:type="dxa" w:w="1133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6"/>
              </w:rPr>
              <w:t>+12.4%</w:t>
            </w:r>
          </w:p>
        </w:tc>
        <w:tc>
          <w:tcPr>
            <w:tcW w:type="dxa" w:w="1133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6"/>
              </w:rPr>
              <w:t>+86€</w:t>
            </w:r>
          </w:p>
        </w:tc>
        <w:tc>
          <w:tcPr>
            <w:tcW w:type="dxa" w:w="1133"/>
            <w:shd w:val="clear" w:color="auto" w:fill="F8FAFC"/>
          </w:tcPr>
          <w:p>
            <w:r>
              <w:rPr>
                <w:rFonts w:ascii="Arial" w:hAnsi="Arial"/>
                <w:b/>
                <w:i w:val="0"/>
                <w:color w:val="0F2540"/>
                <w:sz w:val="16"/>
              </w:rPr>
              <w:t>A 90/100</w:t>
            </w:r>
          </w:p>
        </w:tc>
        <w:tc>
          <w:tcPr>
            <w:tcW w:type="dxa" w:w="1133"/>
            <w:shd w:val="clear" w:color="auto" w:fill="F8FAFC"/>
          </w:tcPr>
          <w:p>
            <w:r>
              <w:rPr>
                <w:rFonts w:ascii="Arial" w:hAnsi="Arial"/>
                <w:b/>
                <w:i w:val="0"/>
                <w:color w:val="6B7280"/>
                <w:sz w:val="16"/>
              </w:rPr>
              <w:t>⚪ SURVEILLER</w:t>
            </w:r>
          </w:p>
        </w:tc>
      </w:tr>
      <w:tr>
        <w:tc>
          <w:tcPr>
            <w:tcW w:type="dxa" w:w="1133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6"/>
              </w:rPr>
              <w:t>SU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Schneider El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7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240.72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272.60</w:t>
            </w:r>
          </w:p>
        </w:tc>
        <w:tc>
          <w:tcPr>
            <w:tcW w:type="dxa" w:w="1133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6"/>
              </w:rPr>
              <w:t>+13.2%</w:t>
            </w:r>
          </w:p>
        </w:tc>
        <w:tc>
          <w:tcPr>
            <w:tcW w:type="dxa" w:w="1133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6"/>
              </w:rPr>
              <w:t>+223€</w:t>
            </w:r>
          </w:p>
        </w:tc>
        <w:tc>
          <w:tcPr>
            <w:tcW w:type="dxa" w:w="1133"/>
            <w:shd w:val="clear" w:color="auto" w:fill="F8FAFC"/>
          </w:tcPr>
          <w:p>
            <w:r>
              <w:rPr>
                <w:rFonts w:ascii="Arial" w:hAnsi="Arial"/>
                <w:b/>
                <w:i w:val="0"/>
                <w:color w:val="0F2540"/>
                <w:sz w:val="16"/>
              </w:rPr>
              <w:t>A 90/100</w:t>
            </w:r>
          </w:p>
        </w:tc>
        <w:tc>
          <w:tcPr>
            <w:tcW w:type="dxa" w:w="1133"/>
            <w:shd w:val="clear" w:color="auto" w:fill="F8FAFC"/>
          </w:tcPr>
          <w:p>
            <w:r>
              <w:rPr>
                <w:rFonts w:ascii="Arial" w:hAnsi="Arial"/>
                <w:b/>
                <w:i w:val="0"/>
                <w:color w:val="6B7280"/>
                <w:sz w:val="16"/>
              </w:rPr>
              <w:t>⚪ SURVEILLER</w:t>
            </w:r>
          </w:p>
        </w:tc>
      </w:tr>
      <w:tr>
        <w:tc>
          <w:tcPr>
            <w:tcW w:type="dxa" w:w="1133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6"/>
              </w:rPr>
              <w:t>HO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Thales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3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237.08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227.90</w:t>
            </w:r>
          </w:p>
        </w:tc>
        <w:tc>
          <w:tcPr>
            <w:tcW w:type="dxa" w:w="1133"/>
            <w:shd w:val="clear" w:color="auto" w:fill="FEE2E2"/>
          </w:tcPr>
          <w:p>
            <w:r>
              <w:rPr>
                <w:rFonts w:ascii="Arial" w:hAnsi="Arial"/>
                <w:b/>
                <w:i w:val="0"/>
                <w:color w:val="DC2626"/>
                <w:sz w:val="16"/>
              </w:rPr>
              <w:t>-3.9%</w:t>
            </w:r>
          </w:p>
        </w:tc>
        <w:tc>
          <w:tcPr>
            <w:tcW w:type="dxa" w:w="1133"/>
            <w:shd w:val="clear" w:color="auto" w:fill="FEE2E2"/>
          </w:tcPr>
          <w:p>
            <w:r>
              <w:rPr>
                <w:rFonts w:ascii="Arial" w:hAnsi="Arial"/>
                <w:b/>
                <w:i w:val="0"/>
                <w:color w:val="DC2626"/>
                <w:sz w:val="16"/>
              </w:rPr>
              <w:t>-28€</w:t>
            </w:r>
          </w:p>
        </w:tc>
        <w:tc>
          <w:tcPr>
            <w:tcW w:type="dxa" w:w="1133"/>
            <w:shd w:val="clear" w:color="auto" w:fill="F8FAFC"/>
          </w:tcPr>
          <w:p>
            <w:r>
              <w:rPr>
                <w:rFonts w:ascii="Arial" w:hAnsi="Arial"/>
                <w:b/>
                <w:i w:val="0"/>
                <w:color w:val="0F2540"/>
                <w:sz w:val="16"/>
              </w:rPr>
              <w:t>A 90/100</w:t>
            </w:r>
          </w:p>
        </w:tc>
        <w:tc>
          <w:tcPr>
            <w:tcW w:type="dxa" w:w="1133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6"/>
              </w:rPr>
              <w:t>ZONE ACTIVE</w:t>
            </w:r>
          </w:p>
        </w:tc>
      </w:tr>
      <w:tr>
        <w:tc>
          <w:tcPr>
            <w:tcW w:type="dxa" w:w="1133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6"/>
              </w:rPr>
              <w:t>TTE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TotalEnergie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20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50.52</w:t>
            </w:r>
          </w:p>
        </w:tc>
        <w:tc>
          <w:tcPr>
            <w:tcW w:type="dxa" w:w="1133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6"/>
              </w:rPr>
              <w:t>75.80</w:t>
            </w:r>
          </w:p>
        </w:tc>
        <w:tc>
          <w:tcPr>
            <w:tcW w:type="dxa" w:w="1133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6"/>
              </w:rPr>
              <w:t>+50.0%</w:t>
            </w:r>
          </w:p>
        </w:tc>
        <w:tc>
          <w:tcPr>
            <w:tcW w:type="dxa" w:w="1133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6"/>
              </w:rPr>
              <w:t>+506€</w:t>
            </w:r>
          </w:p>
        </w:tc>
        <w:tc>
          <w:tcPr>
            <w:tcW w:type="dxa" w:w="1133"/>
            <w:shd w:val="clear" w:color="auto" w:fill="F8FAFC"/>
          </w:tcPr>
          <w:p>
            <w:r>
              <w:rPr>
                <w:rFonts w:ascii="Arial" w:hAnsi="Arial"/>
                <w:b/>
                <w:i w:val="0"/>
                <w:color w:val="0F2540"/>
                <w:sz w:val="16"/>
              </w:rPr>
              <w:t>B 80/100</w:t>
            </w:r>
          </w:p>
        </w:tc>
        <w:tc>
          <w:tcPr>
            <w:tcW w:type="dxa" w:w="1133"/>
            <w:shd w:val="clear" w:color="auto" w:fill="FFFBEB"/>
          </w:tcPr>
          <w:p>
            <w:r>
              <w:rPr>
                <w:rFonts w:ascii="Arial" w:hAnsi="Arial"/>
                <w:b/>
                <w:i w:val="0"/>
                <w:color w:val="D97706"/>
                <w:sz w:val="16"/>
              </w:rPr>
              <w:t>ZONE ACTIVE</w:t>
            </w:r>
          </w:p>
        </w:tc>
      </w:tr>
    </w:tbl>
    <w:p>
      <w:pPr>
        <w:spacing w:after="160"/>
      </w:pPr>
    </w:p>
    <w:p>
      <w:pPr>
        <w:spacing w:before="120" w:after="60"/>
      </w:pPr>
      <w:r>
        <w:rPr>
          <w:rFonts w:ascii="Arial" w:hAnsi="Arial"/>
          <w:b/>
          <w:i w:val="0"/>
          <w:color w:val="1D4ED8"/>
          <w:sz w:val="22"/>
        </w:rPr>
        <w:t>Analyse de marché — Nicolas Chéron (bimensuel)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EFF6FF"/>
          </w:tcPr>
          <w:p>
            <w:pPr>
              <w:spacing w:before="100" w:after="100"/>
            </w:pPr>
            <w:r>
              <w:rPr>
                <w:rFonts w:ascii="Arial" w:hAnsi="Arial"/>
                <w:b w:val="0"/>
                <w:i w:val="0"/>
                <w:color w:val="1D4ED8"/>
                <w:sz w:val="18"/>
              </w:rPr>
              <w:t>NOTE : Chéron publie son décryptage tous les 15 jours sur YouTube (Centrale des Marchés). Il analyse les indices (CAC40, S&amp;P500, DAX), les secteurs et 3-5 actions spécifiques avec niveaux techniques précis. Intégrer ses niveaux de résistance/support dans la surveillance des positions.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Indicateur (Chéron)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Analyse bimensuelle</w:t>
            </w:r>
          </w:p>
        </w:tc>
      </w:tr>
      <w:tr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/>
                <w:i w:val="0"/>
                <w:color w:val="0F2540"/>
                <w:sz w:val="18"/>
              </w:rPr>
              <w:t>CAC40</w:t>
            </w:r>
          </w:p>
        </w:tc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Surveiller support 7800 pts · Résistance 8200 pts</w:t>
            </w:r>
          </w:p>
        </w:tc>
      </w:tr>
      <w:tr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/>
                <w:i w:val="0"/>
                <w:color w:val="0F2540"/>
                <w:sz w:val="18"/>
              </w:rPr>
              <w:t>S&amp;P500</w:t>
            </w:r>
          </w:p>
        </w:tc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Tendance haussière long terme intacte · Support 5000 pts</w:t>
            </w:r>
          </w:p>
        </w:tc>
      </w:tr>
      <w:tr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/>
                <w:i w:val="0"/>
                <w:color w:val="0F2540"/>
                <w:sz w:val="18"/>
              </w:rPr>
              <w:t>EUR/USD</w:t>
            </w:r>
          </w:p>
        </w:tc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Zone 1.05-1.10 · Impact sur les positions exportatrices (AIR)</w:t>
            </w:r>
          </w:p>
        </w:tc>
      </w:tr>
      <w:tr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/>
                <w:i w:val="0"/>
                <w:color w:val="0F2540"/>
                <w:sz w:val="18"/>
              </w:rPr>
              <w:t>Taux 10 ans FR</w:t>
            </w:r>
          </w:p>
        </w:tc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&lt; 3.5% = favorable pour la valorisation des actions de croissance</w:t>
            </w:r>
          </w:p>
        </w:tc>
      </w:tr>
      <w:tr>
        <w:tc>
          <w:tcPr>
            <w:tcW w:type="dxa" w:w="510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1D4ED8"/>
                <w:sz w:val="18"/>
              </w:rPr>
              <w:t>Actions à surveiller</w:t>
            </w:r>
          </w:p>
        </w:tc>
        <w:tc>
          <w:tcPr>
            <w:tcW w:type="dxa" w:w="5100"/>
            <w:shd w:val="clear" w:color="auto" w:fill="EFF6FF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Consulter la dernière vidéo pour les niveaux spécifiques</w:t>
            </w:r>
          </w:p>
        </w:tc>
      </w:tr>
    </w:tbl>
    <w:p>
      <w:pPr>
        <w:spacing w:after="60"/>
      </w:pPr>
    </w:p>
    <w:p>
      <w:pPr>
        <w:spacing w:before="80" w:after="40"/>
      </w:pPr>
      <w:r>
        <w:rPr>
          <w:rFonts w:ascii="Arial" w:hAnsi="Arial"/>
          <w:b/>
          <w:i w:val="0"/>
          <w:color w:val="16A34A"/>
          <w:sz w:val="20"/>
        </w:rPr>
        <w:t>Suggestion de réallocation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Cash disponible ~369€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Opportunité de réallocation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EL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Zone 185.0-222.0€ · R/R 12.0x · Upside +42.9%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AI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Zone 172.0-195.0€ · R/R 2.0x · Upside +17.1%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HO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Zone 228.0-268.0€ · R/R 2.9x · Upside +33.8%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0D080"/>
                <w:sz w:val="24"/>
              </w:rPr>
              <w:t xml:space="preserve">[B] </w:t>
            </w:r>
            <w:r>
              <w:rPr>
                <w:rFonts w:ascii="Arial" w:hAnsi="Arial"/>
                <w:b/>
                <w:i w:val="0"/>
                <w:color w:val="F0D080"/>
                <w:sz w:val="34"/>
              </w:rPr>
              <w:t xml:space="preserve">ELIS  </w:t>
            </w:r>
            <w:r>
              <w:rPr>
                <w:rFonts w:ascii="Arial" w:hAnsi="Arial"/>
                <w:b w:val="0"/>
                <w:i w:val="0"/>
                <w:color w:val="AABBCC"/>
                <w:sz w:val="19"/>
              </w:rPr>
              <w:t>Elis</w:t>
            </w:r>
          </w:p>
          <w:p>
            <w:r>
              <w:rPr>
                <w:rFonts w:ascii="Arial" w:hAnsi="Arial"/>
                <w:b w:val="0"/>
                <w:i w:val="0"/>
                <w:color w:val="AABBCC"/>
                <w:sz w:val="16"/>
              </w:rPr>
              <w:t>Services location-entretien  ·  45 titre(s)  ·  PRU 18.95€  ·  Score QARP 60/100</w:t>
            </w:r>
          </w:p>
        </w:tc>
        <w:tc>
          <w:tcPr>
            <w:tcW w:type="dxa" w:w="5100"/>
            <w:shd w:val="clear" w:color="auto" w:fill="1A3A5C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0D080"/>
                <w:sz w:val="36"/>
              </w:rPr>
              <w:t xml:space="preserve">+43.3%  </w:t>
            </w:r>
          </w:p>
          <w:p>
            <w:pPr>
              <w:jc w:val="right"/>
            </w:pPr>
            <w:r>
              <w:rPr>
                <w:rFonts w:ascii="Arial" w:hAnsi="Arial"/>
                <w:b w:val="0"/>
                <w:i w:val="0"/>
                <w:color w:val="AABBCC"/>
                <w:sz w:val="18"/>
              </w:rPr>
              <w:t>+369€  |  val. 1222€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Indicateur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Valeur</w:t>
            </w:r>
          </w:p>
        </w:tc>
      </w:tr>
      <w:tr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/>
                <w:i w:val="0"/>
                <w:color w:val="0F2540"/>
                <w:sz w:val="18"/>
              </w:rPr>
              <w:t>Cours actuel</w:t>
            </w:r>
          </w:p>
        </w:tc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27.16€</w:t>
            </w:r>
          </w:p>
        </w:tc>
      </w:tr>
      <w:tr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/>
                <w:i w:val="0"/>
                <w:color w:val="888888"/>
                <w:sz w:val="18"/>
              </w:rPr>
              <w:t>Zone achat [el–eh]</w:t>
            </w:r>
          </w:p>
        </w:tc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19.0€ – 24.0€  — hors zone</w:t>
            </w:r>
          </w:p>
        </w:tc>
      </w:tr>
      <w:tr>
        <w:tc>
          <w:tcPr>
            <w:tcW w:type="dxa" w:w="5100"/>
            <w:shd w:val="clear" w:color="auto" w:fill="FEE2E2"/>
          </w:tcPr>
          <w:p>
            <w:r>
              <w:rPr>
                <w:rFonts w:ascii="Arial" w:hAnsi="Arial"/>
                <w:b/>
                <w:i w:val="0"/>
                <w:color w:val="DC2626"/>
                <w:sz w:val="18"/>
              </w:rPr>
              <w:t>Stop Loss</w:t>
            </w:r>
          </w:p>
        </w:tc>
        <w:tc>
          <w:tcPr>
            <w:tcW w:type="dxa" w:w="5100"/>
            <w:shd w:val="clear" w:color="auto" w:fill="FEE2E2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17.0€  (37.4% de marge)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Objectif 1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28.0€  (+3.1%)</w:t>
            </w:r>
          </w:p>
        </w:tc>
      </w:tr>
      <w:tr>
        <w:tc>
          <w:tcPr>
            <w:tcW w:type="dxa" w:w="510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1D4ED8"/>
                <w:sz w:val="18"/>
              </w:rPr>
              <w:t>DCF Médian</w:t>
            </w:r>
          </w:p>
        </w:tc>
        <w:tc>
          <w:tcPr>
            <w:tcW w:type="dxa" w:w="5100"/>
            <w:shd w:val="clear" w:color="auto" w:fill="EFF6FF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28.0€  (upside 3.1%)</w:t>
            </w:r>
          </w:p>
        </w:tc>
      </w:tr>
      <w:tr>
        <w:tc>
          <w:tcPr>
            <w:tcW w:type="dxa" w:w="5100"/>
            <w:shd w:val="clear" w:color="auto" w:fill="FFFBEB"/>
          </w:tcPr>
          <w:p>
            <w:r>
              <w:rPr>
                <w:rFonts w:ascii="Arial" w:hAnsi="Arial"/>
                <w:b/>
                <w:i w:val="0"/>
                <w:color w:val="D97706"/>
                <w:sz w:val="18"/>
              </w:rPr>
              <w:t>R/R</w:t>
            </w:r>
          </w:p>
        </w:tc>
        <w:tc>
          <w:tcPr>
            <w:tcW w:type="dxa" w:w="5100"/>
            <w:shd w:val="clear" w:color="auto" w:fill="FFFBEB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0.1x  ⚠️ insuffisant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Ratio</w:t>
            </w:r>
          </w:p>
        </w:tc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Valeur</w:t>
            </w:r>
          </w:p>
        </w:tc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Ratio</w:t>
            </w:r>
          </w:p>
        </w:tc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Valeur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ROE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16.0%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Marge nette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10.0%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FCF yield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7.5%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Dette/EBITDA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3.5x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Piotroski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/>
                <w:i w:val="0"/>
                <w:color w:val="16A34A"/>
                <w:sz w:val="17"/>
              </w:rPr>
              <w:t>7/9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PE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14.0x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MM200</w:t>
            </w:r>
          </w:p>
        </w:tc>
        <w:tc>
          <w:tcPr>
            <w:tcW w:type="dxa" w:w="255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16A34A"/>
                <w:sz w:val="17"/>
              </w:rPr>
              <w:t>✅ au-dessus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RSI</w:t>
            </w:r>
          </w:p>
        </w:tc>
        <w:tc>
          <w:tcPr>
            <w:tcW w:type="dxa" w:w="255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16A34A"/>
                <w:sz w:val="17"/>
              </w:rPr>
              <w:t>50.0 ✅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Triptyque : 2/3 feux verts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Lecture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RSI 50.0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✅ Zone valeur (25-60)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MM200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✅ Cours &gt; MM200 (20.0€)</w:t>
            </w:r>
          </w:p>
        </w:tc>
      </w:tr>
      <w:tr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/>
                <w:i w:val="0"/>
                <w:color w:val="888888"/>
                <w:sz w:val="18"/>
              </w:rPr>
              <w:t>Zone DCF</w:t>
            </w:r>
          </w:p>
        </w:tc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— Hors zone (upside 3.1%)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16A34A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✅ Thèse haussière</w:t>
            </w:r>
          </w:p>
        </w:tc>
        <w:tc>
          <w:tcPr>
            <w:tcW w:type="dxa" w:w="5100"/>
            <w:shd w:val="clear" w:color="auto" w:fill="DC2626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❌ Risques principaux</w:t>
            </w:r>
          </w:p>
        </w:tc>
      </w:tr>
      <w:tr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 w:val="0"/>
                <w:i w:val="0"/>
                <w:color w:val="1A4730"/>
                <w:sz w:val="17"/>
              </w:rPr>
              <w:t>Elis : hôpitaux et hôtels ne peuvent pas se passer du linge professionnel. Contrats 5-7 ans, renouvellement 95%. Cash flows très prévisibles.</w:t>
            </w:r>
          </w:p>
        </w:tc>
        <w:tc>
          <w:tcPr>
            <w:tcW w:type="dxa" w:w="5100"/>
            <w:shd w:val="clear" w:color="auto" w:fill="FFF5F5"/>
          </w:tcPr>
          <w:p>
            <w:r>
              <w:rPr>
                <w:rFonts w:ascii="Arial" w:hAnsi="Arial"/>
                <w:b w:val="0"/>
                <w:i w:val="0"/>
                <w:color w:val="7C2C2C"/>
                <w:sz w:val="17"/>
              </w:rPr>
              <w:t>CAPEX permanent très lourd (8.5% CA). Dette élevée. Croissance lente.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Track record direction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Résultat</w:t>
            </w:r>
          </w:p>
        </w:tc>
      </w:tr>
      <w:tr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✓ 2025</w:t>
            </w:r>
          </w:p>
        </w:tc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Marge EBITDA 32%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FFBEB"/>
            <w:tcBorders>
              <w:top w:val="single" w:sz="4" w:color="D97706"/>
              <w:bottom w:val="single" w:sz="4" w:color="D97706"/>
              <w:left w:val="single" w:sz="20" w:color="D97706"/>
              <w:right w:val="single" w:sz="4" w:color="D97706"/>
            </w:tcBorders>
          </w:tcPr>
          <w:p>
            <w:pPr>
              <w:spacing w:before="120" w:after="40"/>
            </w:pPr>
            <w:r>
              <w:rPr>
                <w:rFonts w:ascii="Arial" w:hAnsi="Arial"/>
                <w:b/>
                <w:i w:val="0"/>
                <w:color w:val="D97706"/>
                <w:sz w:val="22"/>
              </w:rPr>
              <w:t xml:space="preserve">⚪ HORS ZONE  </w:t>
            </w:r>
          </w:p>
          <w:p>
            <w:pPr>
              <w:spacing w:before="40" w:after="120"/>
            </w:pPr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Position en PV (43.3%). Cours hors zone. Conserver, ne pas renforcer. Surveiller retour vers 19.0€.</w:t>
            </w:r>
          </w:p>
        </w:tc>
      </w:tr>
    </w:tbl>
    <w:p>
      <w:pPr>
        <w:spacing w:after="40"/>
      </w:pPr>
    </w:p>
    <w:p>
      <w:pPr>
        <w:pBdr>
          <w:top w:val="single" w:sz="12" w:color="F0D080"/>
        </w:pBdr>
        <w:spacing w:before="200" w:after="1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0D080"/>
                <w:sz w:val="24"/>
              </w:rPr>
              <w:t xml:space="preserve">[B] </w:t>
            </w:r>
            <w:r>
              <w:rPr>
                <w:rFonts w:ascii="Arial" w:hAnsi="Arial"/>
                <w:b/>
                <w:i w:val="0"/>
                <w:color w:val="F0D080"/>
                <w:sz w:val="34"/>
              </w:rPr>
              <w:t xml:space="preserve">EL  </w:t>
            </w:r>
            <w:r>
              <w:rPr>
                <w:rFonts w:ascii="Arial" w:hAnsi="Arial"/>
                <w:b w:val="0"/>
                <w:i w:val="0"/>
                <w:color w:val="AABBCC"/>
                <w:sz w:val="19"/>
              </w:rPr>
              <w:t>EssilorLuxottica</w:t>
            </w:r>
          </w:p>
          <w:p>
            <w:r>
              <w:rPr>
                <w:rFonts w:ascii="Arial" w:hAnsi="Arial"/>
                <w:b w:val="0"/>
                <w:i w:val="0"/>
                <w:color w:val="AABBCC"/>
                <w:sz w:val="16"/>
              </w:rPr>
              <w:t>Optique  ·  3 titre(s)  ·  PRU 211.66€  ·  Score QARP 77/100</w:t>
            </w:r>
          </w:p>
        </w:tc>
        <w:tc>
          <w:tcPr>
            <w:tcW w:type="dxa" w:w="5100"/>
            <w:shd w:val="clear" w:color="auto" w:fill="3D1515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8888"/>
                <w:sz w:val="36"/>
              </w:rPr>
              <w:t xml:space="preserve">-19.0%  </w:t>
            </w:r>
          </w:p>
          <w:p>
            <w:pPr>
              <w:jc w:val="right"/>
            </w:pPr>
            <w:r>
              <w:rPr>
                <w:rFonts w:ascii="Arial" w:hAnsi="Arial"/>
                <w:b w:val="0"/>
                <w:i w:val="0"/>
                <w:color w:val="AABBCC"/>
                <w:sz w:val="18"/>
              </w:rPr>
              <w:t>-121€  |  val. 514€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Indicateur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Valeur</w:t>
            </w:r>
          </w:p>
        </w:tc>
      </w:tr>
      <w:tr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/>
                <w:i w:val="0"/>
                <w:color w:val="0F2540"/>
                <w:sz w:val="18"/>
              </w:rPr>
              <w:t>Cours actuel</w:t>
            </w:r>
          </w:p>
        </w:tc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171.4€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Zone achat [el–eh]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185.0€ – 222.0€  ✅ cours en zone</w:t>
            </w:r>
          </w:p>
        </w:tc>
      </w:tr>
      <w:tr>
        <w:tc>
          <w:tcPr>
            <w:tcW w:type="dxa" w:w="5100"/>
            <w:shd w:val="clear" w:color="auto" w:fill="FEE2E2"/>
          </w:tcPr>
          <w:p>
            <w:r>
              <w:rPr>
                <w:rFonts w:ascii="Arial" w:hAnsi="Arial"/>
                <w:b/>
                <w:i w:val="0"/>
                <w:color w:val="DC2626"/>
                <w:sz w:val="18"/>
              </w:rPr>
              <w:t>Stop Loss</w:t>
            </w:r>
          </w:p>
        </w:tc>
        <w:tc>
          <w:tcPr>
            <w:tcW w:type="dxa" w:w="5100"/>
            <w:shd w:val="clear" w:color="auto" w:fill="FEE2E2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165.0€  (3.7% de marge)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Objectif 1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248.0€  (+44.7%)</w:t>
            </w:r>
          </w:p>
        </w:tc>
      </w:tr>
      <w:tr>
        <w:tc>
          <w:tcPr>
            <w:tcW w:type="dxa" w:w="510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1D4ED8"/>
                <w:sz w:val="18"/>
              </w:rPr>
              <w:t>DCF Médian</w:t>
            </w:r>
          </w:p>
        </w:tc>
        <w:tc>
          <w:tcPr>
            <w:tcW w:type="dxa" w:w="5100"/>
            <w:shd w:val="clear" w:color="auto" w:fill="EFF6FF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245.0€  (upside 42.9%)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R/R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12.0x  ✅ favorable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Ratio</w:t>
            </w:r>
          </w:p>
        </w:tc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Valeur</w:t>
            </w:r>
          </w:p>
        </w:tc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Ratio</w:t>
            </w:r>
          </w:p>
        </w:tc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Valeur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ROE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13.0%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Marge nette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15.0%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FCF yield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7.5%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Dette/EBITDA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1.5x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Piotroski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/>
                <w:i w:val="0"/>
                <w:color w:val="16A34A"/>
                <w:sz w:val="17"/>
              </w:rPr>
              <w:t>7/9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PE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28.0x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MM200</w:t>
            </w:r>
          </w:p>
        </w:tc>
        <w:tc>
          <w:tcPr>
            <w:tcW w:type="dxa" w:w="2550"/>
            <w:shd w:val="clear" w:color="auto" w:fill="FEE2E2"/>
          </w:tcPr>
          <w:p>
            <w:r>
              <w:rPr>
                <w:rFonts w:ascii="Arial" w:hAnsi="Arial"/>
                <w:b w:val="0"/>
                <w:i w:val="0"/>
                <w:color w:val="DC2626"/>
                <w:sz w:val="17"/>
              </w:rPr>
              <w:t>⚠️ en dessous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RSI</w:t>
            </w:r>
          </w:p>
        </w:tc>
        <w:tc>
          <w:tcPr>
            <w:tcW w:type="dxa" w:w="255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16A34A"/>
                <w:sz w:val="17"/>
              </w:rPr>
              <w:t>50.0 ✅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Triptyque : 2/3 feux verts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Lecture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RSI 50.0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✅ Zone valeur (25-60)</w:t>
            </w:r>
          </w:p>
        </w:tc>
      </w:tr>
      <w:tr>
        <w:tc>
          <w:tcPr>
            <w:tcW w:type="dxa" w:w="5100"/>
            <w:shd w:val="clear" w:color="auto" w:fill="FFFBEB"/>
          </w:tcPr>
          <w:p>
            <w:r>
              <w:rPr>
                <w:rFonts w:ascii="Arial" w:hAnsi="Arial"/>
                <w:b/>
                <w:i w:val="0"/>
                <w:color w:val="D97706"/>
                <w:sz w:val="18"/>
              </w:rPr>
              <w:t>MM200</w:t>
            </w:r>
          </w:p>
        </w:tc>
        <w:tc>
          <w:tcPr>
            <w:tcW w:type="dxa" w:w="5100"/>
            <w:shd w:val="clear" w:color="auto" w:fill="FFFBEB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⚠️ Cours &lt; MM200 (205.0€)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Zone DCF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✅ En zone d'achat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16A34A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✅ Thèse haussière</w:t>
            </w:r>
          </w:p>
        </w:tc>
        <w:tc>
          <w:tcPr>
            <w:tcW w:type="dxa" w:w="5100"/>
            <w:shd w:val="clear" w:color="auto" w:fill="DC2626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❌ Risques principaux</w:t>
            </w:r>
          </w:p>
        </w:tc>
      </w:tr>
      <w:tr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 w:val="0"/>
                <w:i w:val="0"/>
                <w:color w:val="1A4730"/>
                <w:sz w:val="17"/>
              </w:rPr>
              <w:t>EssilorLuxottica contrôle toute la chaîne de valeur optique mondiale. Vieillissement population + smart glasses = croissance structurelle décennale.</w:t>
            </w:r>
          </w:p>
        </w:tc>
        <w:tc>
          <w:tcPr>
            <w:tcW w:type="dxa" w:w="5100"/>
            <w:shd w:val="clear" w:color="auto" w:fill="FFF5F5"/>
          </w:tcPr>
          <w:p>
            <w:r>
              <w:rPr>
                <w:rFonts w:ascii="Arial" w:hAnsi="Arial"/>
                <w:b w:val="0"/>
                <w:i w:val="0"/>
                <w:color w:val="7C2C2C"/>
                <w:sz w:val="17"/>
              </w:rPr>
              <w:t>28x PE pour 7-9% de croissance organique. Intégration encore en cours.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Track record direction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Résultat</w:t>
            </w:r>
          </w:p>
        </w:tc>
      </w:tr>
      <w:tr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✓ 2025</w:t>
            </w:r>
          </w:p>
        </w:tc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Synergies Essilor/Luxottica complètes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EE2E2"/>
            <w:tcBorders>
              <w:top w:val="single" w:sz="4" w:color="DC2626"/>
              <w:bottom w:val="single" w:sz="4" w:color="DC2626"/>
              <w:left w:val="single" w:sz="20" w:color="DC2626"/>
              <w:right w:val="single" w:sz="4" w:color="DC2626"/>
            </w:tcBorders>
          </w:tcPr>
          <w:p>
            <w:pPr>
              <w:spacing w:before="120" w:after="40"/>
            </w:pPr>
            <w:r>
              <w:rPr>
                <w:rFonts w:ascii="Arial" w:hAnsi="Arial"/>
                <w:b/>
                <w:i w:val="0"/>
                <w:color w:val="DC2626"/>
                <w:sz w:val="22"/>
              </w:rPr>
              <w:t xml:space="preserve">⚠️ STOP PROCHE — distance critique  </w:t>
            </w:r>
          </w:p>
          <w:p>
            <w:pPr>
              <w:spacing w:before="40" w:after="120"/>
            </w:pPr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Stop à 165.0€. Distance : 3.7% seulement. Vente mécanique si atteint. Ne pas attendre le lundi.</w:t>
            </w:r>
          </w:p>
        </w:tc>
      </w:tr>
    </w:tbl>
    <w:p>
      <w:pPr>
        <w:spacing w:after="40"/>
      </w:pPr>
    </w:p>
    <w:p>
      <w:pPr>
        <w:pBdr>
          <w:top w:val="single" w:sz="12" w:color="F0D080"/>
        </w:pBdr>
        <w:spacing w:before="200" w:after="1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0D080"/>
                <w:sz w:val="24"/>
              </w:rPr>
              <w:t xml:space="preserve">[A] </w:t>
            </w:r>
            <w:r>
              <w:rPr>
                <w:rFonts w:ascii="Arial" w:hAnsi="Arial"/>
                <w:b/>
                <w:i w:val="0"/>
                <w:color w:val="F0D080"/>
                <w:sz w:val="34"/>
              </w:rPr>
              <w:t xml:space="preserve">RMS  </w:t>
            </w:r>
            <w:r>
              <w:rPr>
                <w:rFonts w:ascii="Arial" w:hAnsi="Arial"/>
                <w:b w:val="0"/>
                <w:i w:val="0"/>
                <w:color w:val="AABBCC"/>
                <w:sz w:val="19"/>
              </w:rPr>
              <w:t>Hermès</w:t>
            </w:r>
          </w:p>
          <w:p>
            <w:r>
              <w:rPr>
                <w:rFonts w:ascii="Arial" w:hAnsi="Arial"/>
                <w:b w:val="0"/>
                <w:i w:val="0"/>
                <w:color w:val="AABBCC"/>
                <w:sz w:val="16"/>
              </w:rPr>
              <w:t>Luxe  ·  2 titre(s)  ·  PRU 1795.95€  ·  Score QARP 90/100</w:t>
            </w:r>
          </w:p>
        </w:tc>
        <w:tc>
          <w:tcPr>
            <w:tcW w:type="dxa" w:w="5100"/>
            <w:shd w:val="clear" w:color="auto" w:fill="3D1515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8888"/>
                <w:sz w:val="36"/>
              </w:rPr>
              <w:t xml:space="preserve">-7.5%  </w:t>
            </w:r>
          </w:p>
          <w:p>
            <w:pPr>
              <w:jc w:val="right"/>
            </w:pPr>
            <w:r>
              <w:rPr>
                <w:rFonts w:ascii="Arial" w:hAnsi="Arial"/>
                <w:b w:val="0"/>
                <w:i w:val="0"/>
                <w:color w:val="AABBCC"/>
                <w:sz w:val="18"/>
              </w:rPr>
              <w:t>-270€  |  val. 3322€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Indicateur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Valeur</w:t>
            </w:r>
          </w:p>
        </w:tc>
      </w:tr>
      <w:tr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/>
                <w:i w:val="0"/>
                <w:color w:val="0F2540"/>
                <w:sz w:val="18"/>
              </w:rPr>
              <w:t>Cours actuel</w:t>
            </w:r>
          </w:p>
        </w:tc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1661.0€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Zone achat [el–eh]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1520.0€ – 1720.0€  ✅ cours en zone</w:t>
            </w:r>
          </w:p>
        </w:tc>
      </w:tr>
      <w:tr>
        <w:tc>
          <w:tcPr>
            <w:tcW w:type="dxa" w:w="5100"/>
            <w:shd w:val="clear" w:color="auto" w:fill="FEE2E2"/>
          </w:tcPr>
          <w:p>
            <w:r>
              <w:rPr>
                <w:rFonts w:ascii="Arial" w:hAnsi="Arial"/>
                <w:b/>
                <w:i w:val="0"/>
                <w:color w:val="DC2626"/>
                <w:sz w:val="18"/>
              </w:rPr>
              <w:t>Stop Loss</w:t>
            </w:r>
          </w:p>
        </w:tc>
        <w:tc>
          <w:tcPr>
            <w:tcW w:type="dxa" w:w="5100"/>
            <w:shd w:val="clear" w:color="auto" w:fill="FEE2E2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1380.0€  (16.9% de marge)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Objectif 1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1950.0€  (+17.4%)</w:t>
            </w:r>
          </w:p>
        </w:tc>
      </w:tr>
      <w:tr>
        <w:tc>
          <w:tcPr>
            <w:tcW w:type="dxa" w:w="510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1D4ED8"/>
                <w:sz w:val="18"/>
              </w:rPr>
              <w:t>DCF Médian</w:t>
            </w:r>
          </w:p>
        </w:tc>
        <w:tc>
          <w:tcPr>
            <w:tcW w:type="dxa" w:w="5100"/>
            <w:shd w:val="clear" w:color="auto" w:fill="EFF6FF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2000.0€  (upside 20.4%)</w:t>
            </w:r>
          </w:p>
        </w:tc>
      </w:tr>
      <w:tr>
        <w:tc>
          <w:tcPr>
            <w:tcW w:type="dxa" w:w="5100"/>
            <w:shd w:val="clear" w:color="auto" w:fill="FFFBEB"/>
          </w:tcPr>
          <w:p>
            <w:r>
              <w:rPr>
                <w:rFonts w:ascii="Arial" w:hAnsi="Arial"/>
                <w:b/>
                <w:i w:val="0"/>
                <w:color w:val="D97706"/>
                <w:sz w:val="18"/>
              </w:rPr>
              <w:t>R/R</w:t>
            </w:r>
          </w:p>
        </w:tc>
        <w:tc>
          <w:tcPr>
            <w:tcW w:type="dxa" w:w="5100"/>
            <w:shd w:val="clear" w:color="auto" w:fill="FFFBEB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1.0x  ⚠️ insuffisant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Ratio</w:t>
            </w:r>
          </w:p>
        </w:tc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Valeur</w:t>
            </w:r>
          </w:p>
        </w:tc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Ratio</w:t>
            </w:r>
          </w:p>
        </w:tc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Valeur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ROE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36.0%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Marge nette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42.0%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FCF yield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10.5%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Dette/EBITDA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0.0x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Piotroski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/>
                <w:i w:val="0"/>
                <w:color w:val="16A34A"/>
                <w:sz w:val="17"/>
              </w:rPr>
              <w:t>9/9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PE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50.0x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MM200</w:t>
            </w:r>
          </w:p>
        </w:tc>
        <w:tc>
          <w:tcPr>
            <w:tcW w:type="dxa" w:w="2550"/>
            <w:shd w:val="clear" w:color="auto" w:fill="FEE2E2"/>
          </w:tcPr>
          <w:p>
            <w:r>
              <w:rPr>
                <w:rFonts w:ascii="Arial" w:hAnsi="Arial"/>
                <w:b w:val="0"/>
                <w:i w:val="0"/>
                <w:color w:val="DC2626"/>
                <w:sz w:val="17"/>
              </w:rPr>
              <w:t>⚠️ en dessous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RSI</w:t>
            </w:r>
          </w:p>
        </w:tc>
        <w:tc>
          <w:tcPr>
            <w:tcW w:type="dxa" w:w="255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16A34A"/>
                <w:sz w:val="17"/>
              </w:rPr>
              <w:t>48.0 ✅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Triptyque : 2/3 feux verts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Lecture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RSI 48.0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✅ Zone valeur (25-60)</w:t>
            </w:r>
          </w:p>
        </w:tc>
      </w:tr>
      <w:tr>
        <w:tc>
          <w:tcPr>
            <w:tcW w:type="dxa" w:w="5100"/>
            <w:shd w:val="clear" w:color="auto" w:fill="FFFBEB"/>
          </w:tcPr>
          <w:p>
            <w:r>
              <w:rPr>
                <w:rFonts w:ascii="Arial" w:hAnsi="Arial"/>
                <w:b/>
                <w:i w:val="0"/>
                <w:color w:val="D97706"/>
                <w:sz w:val="18"/>
              </w:rPr>
              <w:t>MM200</w:t>
            </w:r>
          </w:p>
        </w:tc>
        <w:tc>
          <w:tcPr>
            <w:tcW w:type="dxa" w:w="5100"/>
            <w:shd w:val="clear" w:color="auto" w:fill="FFFBEB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⚠️ Cours &lt; MM200 (1820.0€)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Zone DCF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✅ En zone d'achat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16A34A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✅ Thèse haussière</w:t>
            </w:r>
          </w:p>
        </w:tc>
        <w:tc>
          <w:tcPr>
            <w:tcW w:type="dxa" w:w="5100"/>
            <w:shd w:val="clear" w:color="auto" w:fill="DC2626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❌ Risques principaux</w:t>
            </w:r>
          </w:p>
        </w:tc>
      </w:tr>
      <w:tr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 w:val="0"/>
                <w:i w:val="0"/>
                <w:color w:val="1A4730"/>
                <w:sz w:val="17"/>
              </w:rPr>
              <w:t>Hermès est l'actif le plus unique de la bourse mondiale. 42% de marge, zéro dette, famille aux commandes depuis 6 générations. La liste d'attente Birkin immunise contre les cycles.</w:t>
            </w:r>
          </w:p>
        </w:tc>
        <w:tc>
          <w:tcPr>
            <w:tcW w:type="dxa" w:w="5100"/>
            <w:shd w:val="clear" w:color="auto" w:fill="FFF5F5"/>
          </w:tcPr>
          <w:p>
            <w:r>
              <w:rPr>
                <w:rFonts w:ascii="Arial" w:hAnsi="Arial"/>
                <w:b w:val="0"/>
                <w:i w:val="0"/>
                <w:color w:val="7C2C2C"/>
                <w:sz w:val="17"/>
              </w:rPr>
              <w:t>50x PE ne permet aucune erreur. Risque succession familiale. Contrefaçon croissante en Asie.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Track record direction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Résultat</w:t>
            </w:r>
          </w:p>
        </w:tc>
      </w:tr>
      <w:tr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✓ 2025</w:t>
            </w:r>
          </w:p>
        </w:tc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Marge op. 42% record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FFBEB"/>
            <w:tcBorders>
              <w:top w:val="single" w:sz="4" w:color="D97706"/>
              <w:bottom w:val="single" w:sz="4" w:color="D97706"/>
              <w:left w:val="single" w:sz="20" w:color="D97706"/>
              <w:right w:val="single" w:sz="4" w:color="D97706"/>
            </w:tcBorders>
          </w:tcPr>
          <w:p>
            <w:pPr>
              <w:spacing w:before="120" w:after="40"/>
            </w:pPr>
            <w:r>
              <w:rPr>
                <w:rFonts w:ascii="Arial" w:hAnsi="Arial"/>
                <w:b/>
                <w:i w:val="0"/>
                <w:color w:val="D97706"/>
                <w:sz w:val="22"/>
              </w:rPr>
              <w:t xml:space="preserve">🟡 ZONE ACTIVE — R/R &lt; 2x  </w:t>
            </w:r>
          </w:p>
          <w:p>
            <w:pPr>
              <w:spacing w:before="40" w:after="120"/>
            </w:pPr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Cours en zone mais R/R 1.0x &lt; 2x. Garder la position, attendre retour vers 1520.0€ pour R/R ≥ 2x. Ne pas renforcer ici.</w:t>
            </w:r>
          </w:p>
        </w:tc>
      </w:tr>
    </w:tbl>
    <w:p>
      <w:pPr>
        <w:spacing w:after="40"/>
      </w:pPr>
    </w:p>
    <w:p>
      <w:pPr>
        <w:pBdr>
          <w:top w:val="single" w:sz="12" w:color="F0D080"/>
        </w:pBdr>
        <w:spacing w:before="200" w:after="1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0D080"/>
                <w:sz w:val="24"/>
              </w:rPr>
              <w:t xml:space="preserve">[A] </w:t>
            </w:r>
            <w:r>
              <w:rPr>
                <w:rFonts w:ascii="Arial" w:hAnsi="Arial"/>
                <w:b/>
                <w:i w:val="0"/>
                <w:color w:val="F0D080"/>
                <w:sz w:val="34"/>
              </w:rPr>
              <w:t xml:space="preserve">AI  </w:t>
            </w:r>
            <w:r>
              <w:rPr>
                <w:rFonts w:ascii="Arial" w:hAnsi="Arial"/>
                <w:b w:val="0"/>
                <w:i w:val="0"/>
                <w:color w:val="AABBCC"/>
                <w:sz w:val="19"/>
              </w:rPr>
              <w:t>Air Liquide</w:t>
            </w:r>
          </w:p>
          <w:p>
            <w:r>
              <w:rPr>
                <w:rFonts w:ascii="Arial" w:hAnsi="Arial"/>
                <w:b w:val="0"/>
                <w:i w:val="0"/>
                <w:color w:val="AABBCC"/>
                <w:sz w:val="16"/>
              </w:rPr>
              <w:t>Gaz industriels  ·  10 titre(s)  ·  PRU 159.31€  ·  Score QARP 82/100</w:t>
            </w:r>
          </w:p>
        </w:tc>
        <w:tc>
          <w:tcPr>
            <w:tcW w:type="dxa" w:w="5100"/>
            <w:shd w:val="clear" w:color="auto" w:fill="1A3A5C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0D080"/>
                <w:sz w:val="36"/>
              </w:rPr>
              <w:t xml:space="preserve">+9.9%  </w:t>
            </w:r>
          </w:p>
          <w:p>
            <w:pPr>
              <w:jc w:val="right"/>
            </w:pPr>
            <w:r>
              <w:rPr>
                <w:rFonts w:ascii="Arial" w:hAnsi="Arial"/>
                <w:b w:val="0"/>
                <w:i w:val="0"/>
                <w:color w:val="AABBCC"/>
                <w:sz w:val="18"/>
              </w:rPr>
              <w:t>+158€  |  val. 1751€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Indicateur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Valeur</w:t>
            </w:r>
          </w:p>
        </w:tc>
      </w:tr>
      <w:tr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/>
                <w:i w:val="0"/>
                <w:color w:val="0F2540"/>
                <w:sz w:val="18"/>
              </w:rPr>
              <w:t>Cours actuel</w:t>
            </w:r>
          </w:p>
        </w:tc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175.12€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Zone achat [el–eh]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172.0€ – 195.0€  ✅ cours en zone</w:t>
            </w:r>
          </w:p>
        </w:tc>
      </w:tr>
      <w:tr>
        <w:tc>
          <w:tcPr>
            <w:tcW w:type="dxa" w:w="5100"/>
            <w:shd w:val="clear" w:color="auto" w:fill="FEE2E2"/>
          </w:tcPr>
          <w:p>
            <w:r>
              <w:rPr>
                <w:rFonts w:ascii="Arial" w:hAnsi="Arial"/>
                <w:b/>
                <w:i w:val="0"/>
                <w:color w:val="DC2626"/>
                <w:sz w:val="18"/>
              </w:rPr>
              <w:t>Stop Loss</w:t>
            </w:r>
          </w:p>
        </w:tc>
        <w:tc>
          <w:tcPr>
            <w:tcW w:type="dxa" w:w="5100"/>
            <w:shd w:val="clear" w:color="auto" w:fill="FEE2E2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158.0€  (9.8% de marge)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Objectif 1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210.0€  (+19.9%)</w:t>
            </w:r>
          </w:p>
        </w:tc>
      </w:tr>
      <w:tr>
        <w:tc>
          <w:tcPr>
            <w:tcW w:type="dxa" w:w="510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1D4ED8"/>
                <w:sz w:val="18"/>
              </w:rPr>
              <w:t>DCF Médian</w:t>
            </w:r>
          </w:p>
        </w:tc>
        <w:tc>
          <w:tcPr>
            <w:tcW w:type="dxa" w:w="5100"/>
            <w:shd w:val="clear" w:color="auto" w:fill="EFF6FF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205.0€  (upside 17.1%)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R/R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2.0x  ✅ favorable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Ratio</w:t>
            </w:r>
          </w:p>
        </w:tc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Valeur</w:t>
            </w:r>
          </w:p>
        </w:tc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Ratio</w:t>
            </w:r>
          </w:p>
        </w:tc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Valeur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ROE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16.0%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Marge nette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13.0%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FCF yield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5.8%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Dette/EBITDA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1.8x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Piotroski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/>
                <w:i w:val="0"/>
                <w:color w:val="16A34A"/>
                <w:sz w:val="17"/>
              </w:rPr>
              <w:t>7/9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PE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26.0x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MM200</w:t>
            </w:r>
          </w:p>
        </w:tc>
        <w:tc>
          <w:tcPr>
            <w:tcW w:type="dxa" w:w="255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16A34A"/>
                <w:sz w:val="17"/>
              </w:rPr>
              <w:t>✅ au-dessus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RSI</w:t>
            </w:r>
          </w:p>
        </w:tc>
        <w:tc>
          <w:tcPr>
            <w:tcW w:type="dxa" w:w="255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16A34A"/>
                <w:sz w:val="17"/>
              </w:rPr>
              <w:t>48.0 ✅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Triptyque : 3/3 feux verts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Lecture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RSI 48.0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✅ Zone valeur (25-60)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MM200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✅ Cours &gt; MM200 (168.0€)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Zone DCF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✅ En zone d'achat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16A34A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✅ Thèse haussière</w:t>
            </w:r>
          </w:p>
        </w:tc>
        <w:tc>
          <w:tcPr>
            <w:tcW w:type="dxa" w:w="5100"/>
            <w:shd w:val="clear" w:color="auto" w:fill="DC2626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❌ Risques principaux</w:t>
            </w:r>
          </w:p>
        </w:tc>
      </w:tr>
      <w:tr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 w:val="0"/>
                <w:i w:val="0"/>
                <w:color w:val="1A4730"/>
                <w:sz w:val="17"/>
              </w:rPr>
              <w:t>Air Liquide est l'infrastructure invisible de l'industrie mondiale. 29 années consécutives de hausse du dividende. Contrats 15-20 ans take-or-pay = cash flows quasi-certains.</w:t>
            </w:r>
          </w:p>
        </w:tc>
        <w:tc>
          <w:tcPr>
            <w:tcW w:type="dxa" w:w="5100"/>
            <w:shd w:val="clear" w:color="auto" w:fill="FFF5F5"/>
          </w:tcPr>
          <w:p>
            <w:r>
              <w:rPr>
                <w:rFonts w:ascii="Arial" w:hAnsi="Arial"/>
                <w:b w:val="0"/>
                <w:i w:val="0"/>
                <w:color w:val="7C2C2C"/>
                <w:sz w:val="17"/>
              </w:rPr>
              <w:t>Valorisation premium. CAPEX très lourd (12.4% CA) pour l'hydrogène dont le retour reste incertain.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Track record direction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Résultat</w:t>
            </w:r>
          </w:p>
        </w:tc>
      </w:tr>
      <w:tr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✓ 2025</w:t>
            </w:r>
          </w:p>
        </w:tc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BPA +9%</w:t>
            </w:r>
          </w:p>
        </w:tc>
      </w:tr>
      <w:tr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✓ 2024</w:t>
            </w:r>
          </w:p>
        </w:tc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30ème hausse dividende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DCFCE7"/>
            <w:tcBorders>
              <w:top w:val="single" w:sz="4" w:color="16A34A"/>
              <w:bottom w:val="single" w:sz="4" w:color="16A34A"/>
              <w:left w:val="single" w:sz="20" w:color="16A34A"/>
              <w:right w:val="single" w:sz="4" w:color="16A34A"/>
            </w:tcBorders>
          </w:tcPr>
          <w:p>
            <w:pPr>
              <w:spacing w:before="120" w:after="40"/>
            </w:pPr>
            <w:r>
              <w:rPr>
                <w:rFonts w:ascii="Arial" w:hAnsi="Arial"/>
                <w:b/>
                <w:i w:val="0"/>
                <w:color w:val="16A34A"/>
                <w:sz w:val="22"/>
              </w:rPr>
              <w:t xml:space="preserve">✅ ZONE ACTIVE — R/R favorable  </w:t>
            </w:r>
          </w:p>
          <w:p>
            <w:pPr>
              <w:spacing w:before="40" w:after="120"/>
            </w:pPr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Cours en zone, R/R 2.0x ≥ 2x. Score 82/100. Conditions réunies pour un renforcement ciblé (max +3% du PEA). Stop à 158.0€ à définir avant passage d'ordre.</w:t>
            </w:r>
          </w:p>
        </w:tc>
      </w:tr>
    </w:tbl>
    <w:p>
      <w:pPr>
        <w:spacing w:after="40"/>
      </w:pPr>
    </w:p>
    <w:p>
      <w:pPr>
        <w:pBdr>
          <w:top w:val="single" w:sz="12" w:color="F0D080"/>
        </w:pBdr>
        <w:spacing w:before="200" w:after="1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0D080"/>
                <w:sz w:val="24"/>
              </w:rPr>
              <w:t xml:space="preserve">[A] </w:t>
            </w:r>
            <w:r>
              <w:rPr>
                <w:rFonts w:ascii="Arial" w:hAnsi="Arial"/>
                <w:b/>
                <w:i w:val="0"/>
                <w:color w:val="F0D080"/>
                <w:sz w:val="34"/>
              </w:rPr>
              <w:t xml:space="preserve">LR  </w:t>
            </w:r>
            <w:r>
              <w:rPr>
                <w:rFonts w:ascii="Arial" w:hAnsi="Arial"/>
                <w:b w:val="0"/>
                <w:i w:val="0"/>
                <w:color w:val="AABBCC"/>
                <w:sz w:val="19"/>
              </w:rPr>
              <w:t>Legrand</w:t>
            </w:r>
          </w:p>
          <w:p>
            <w:r>
              <w:rPr>
                <w:rFonts w:ascii="Arial" w:hAnsi="Arial"/>
                <w:b w:val="0"/>
                <w:i w:val="0"/>
                <w:color w:val="AABBCC"/>
                <w:sz w:val="16"/>
              </w:rPr>
              <w:t>Électricité bâtiment  ·  5 titre(s)  ·  PRU 139.23€  ·  Score QARP 90/100</w:t>
            </w:r>
          </w:p>
        </w:tc>
        <w:tc>
          <w:tcPr>
            <w:tcW w:type="dxa" w:w="5100"/>
            <w:shd w:val="clear" w:color="auto" w:fill="1A3A5C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0D080"/>
                <w:sz w:val="36"/>
              </w:rPr>
              <w:t xml:space="preserve">+12.4%  </w:t>
            </w:r>
          </w:p>
          <w:p>
            <w:pPr>
              <w:jc w:val="right"/>
            </w:pPr>
            <w:r>
              <w:rPr>
                <w:rFonts w:ascii="Arial" w:hAnsi="Arial"/>
                <w:b w:val="0"/>
                <w:i w:val="0"/>
                <w:color w:val="AABBCC"/>
                <w:sz w:val="18"/>
              </w:rPr>
              <w:t>+86€  |  val. 782€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Indicateur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Valeur</w:t>
            </w:r>
          </w:p>
        </w:tc>
      </w:tr>
      <w:tr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/>
                <w:i w:val="0"/>
                <w:color w:val="0F2540"/>
                <w:sz w:val="18"/>
              </w:rPr>
              <w:t>Cours actuel</w:t>
            </w:r>
          </w:p>
        </w:tc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156.5€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Zone achat [el–eh]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132.0€ – 158.0€  ✅ cours en zone</w:t>
            </w:r>
          </w:p>
        </w:tc>
      </w:tr>
      <w:tr>
        <w:tc>
          <w:tcPr>
            <w:tcW w:type="dxa" w:w="5100"/>
            <w:shd w:val="clear" w:color="auto" w:fill="FEE2E2"/>
          </w:tcPr>
          <w:p>
            <w:r>
              <w:rPr>
                <w:rFonts w:ascii="Arial" w:hAnsi="Arial"/>
                <w:b/>
                <w:i w:val="0"/>
                <w:color w:val="DC2626"/>
                <w:sz w:val="18"/>
              </w:rPr>
              <w:t>Stop Loss</w:t>
            </w:r>
          </w:p>
        </w:tc>
        <w:tc>
          <w:tcPr>
            <w:tcW w:type="dxa" w:w="5100"/>
            <w:shd w:val="clear" w:color="auto" w:fill="FEE2E2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118.0€  (24.6% de marge)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Objectif 1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172.0€  (+9.9%)</w:t>
            </w:r>
          </w:p>
        </w:tc>
      </w:tr>
      <w:tr>
        <w:tc>
          <w:tcPr>
            <w:tcW w:type="dxa" w:w="510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1D4ED8"/>
                <w:sz w:val="18"/>
              </w:rPr>
              <w:t>DCF Médian</w:t>
            </w:r>
          </w:p>
        </w:tc>
        <w:tc>
          <w:tcPr>
            <w:tcW w:type="dxa" w:w="5100"/>
            <w:shd w:val="clear" w:color="auto" w:fill="EFF6FF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172.0€  (upside 9.9%)</w:t>
            </w:r>
          </w:p>
        </w:tc>
      </w:tr>
      <w:tr>
        <w:tc>
          <w:tcPr>
            <w:tcW w:type="dxa" w:w="5100"/>
            <w:shd w:val="clear" w:color="auto" w:fill="FFFBEB"/>
          </w:tcPr>
          <w:p>
            <w:r>
              <w:rPr>
                <w:rFonts w:ascii="Arial" w:hAnsi="Arial"/>
                <w:b/>
                <w:i w:val="0"/>
                <w:color w:val="D97706"/>
                <w:sz w:val="18"/>
              </w:rPr>
              <w:t>R/R</w:t>
            </w:r>
          </w:p>
        </w:tc>
        <w:tc>
          <w:tcPr>
            <w:tcW w:type="dxa" w:w="5100"/>
            <w:shd w:val="clear" w:color="auto" w:fill="FFFBEB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0.4x  ⚠️ insuffisant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Ratio</w:t>
            </w:r>
          </w:p>
        </w:tc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Valeur</w:t>
            </w:r>
          </w:p>
        </w:tc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Ratio</w:t>
            </w:r>
          </w:p>
        </w:tc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Valeur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ROE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22.0%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Marge nette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18.0%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FCF yield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8.5%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Dette/EBITDA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1.2x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Piotroski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/>
                <w:i w:val="0"/>
                <w:color w:val="16A34A"/>
                <w:sz w:val="17"/>
              </w:rPr>
              <w:t>8/9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PE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24.0x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MM200</w:t>
            </w:r>
          </w:p>
        </w:tc>
        <w:tc>
          <w:tcPr>
            <w:tcW w:type="dxa" w:w="255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16A34A"/>
                <w:sz w:val="17"/>
              </w:rPr>
              <w:t>✅ au-dessus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RSI</w:t>
            </w:r>
          </w:p>
        </w:tc>
        <w:tc>
          <w:tcPr>
            <w:tcW w:type="dxa" w:w="255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16A34A"/>
                <w:sz w:val="17"/>
              </w:rPr>
              <w:t>52.0 ✅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Triptyque : 3/3 feux verts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Lecture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RSI 52.0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✅ Zone valeur (25-60)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MM200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✅ Cours &gt; MM200 (138.0€)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Zone DCF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✅ En zone d'achat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16A34A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✅ Thèse haussière</w:t>
            </w:r>
          </w:p>
        </w:tc>
        <w:tc>
          <w:tcPr>
            <w:tcW w:type="dxa" w:w="5100"/>
            <w:shd w:val="clear" w:color="auto" w:fill="DC2626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❌ Risques principaux</w:t>
            </w:r>
          </w:p>
        </w:tc>
      </w:tr>
      <w:tr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 w:val="0"/>
                <w:i w:val="0"/>
                <w:color w:val="1A4730"/>
                <w:sz w:val="17"/>
              </w:rPr>
              <w:t>Legrand — 24 années de hausse du BPA. Data centers = 25% du CA croissant à 20%/an. Famille aux commandes = alignement parfait.</w:t>
            </w:r>
          </w:p>
        </w:tc>
        <w:tc>
          <w:tcPr>
            <w:tcW w:type="dxa" w:w="5100"/>
            <w:shd w:val="clear" w:color="auto" w:fill="FFF5F5"/>
          </w:tcPr>
          <w:p>
            <w:r>
              <w:rPr>
                <w:rFonts w:ascii="Arial" w:hAnsi="Arial"/>
                <w:b w:val="0"/>
                <w:i w:val="0"/>
                <w:color w:val="7C2C2C"/>
                <w:sz w:val="17"/>
              </w:rPr>
              <w:t>Valorisation premium. Exposition bâtiment résidentiel qui souffre des taux.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Track record direction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Résultat</w:t>
            </w:r>
          </w:p>
        </w:tc>
      </w:tr>
      <w:tr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✓ 2025</w:t>
            </w:r>
          </w:p>
        </w:tc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Croissance organique +9%</w:t>
            </w:r>
          </w:p>
        </w:tc>
      </w:tr>
      <w:tr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✓ 2024</w:t>
            </w:r>
          </w:p>
        </w:tc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Data center +20%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8FAFC"/>
            <w:tcBorders>
              <w:top w:val="single" w:sz="4" w:color="6B7280"/>
              <w:bottom w:val="single" w:sz="4" w:color="6B7280"/>
              <w:left w:val="single" w:sz="20" w:color="6B7280"/>
              <w:right w:val="single" w:sz="4" w:color="6B7280"/>
            </w:tcBorders>
          </w:tcPr>
          <w:p>
            <w:pPr>
              <w:spacing w:before="120" w:after="40"/>
            </w:pPr>
            <w:r>
              <w:rPr>
                <w:rFonts w:ascii="Arial" w:hAnsi="Arial"/>
                <w:b/>
                <w:i w:val="0"/>
                <w:color w:val="6B7280"/>
                <w:sz w:val="22"/>
              </w:rPr>
              <w:t xml:space="preserve">⚪ SURVEILLER  </w:t>
            </w:r>
          </w:p>
          <w:p>
            <w:pPr>
              <w:spacing w:before="40" w:after="120"/>
            </w:pPr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Position en PV de 12.4%. Surveiller chaque vendredi. Agir si zone atteinte avec R/R ≥ 2x.</w:t>
            </w:r>
          </w:p>
        </w:tc>
      </w:tr>
    </w:tbl>
    <w:p>
      <w:pPr>
        <w:spacing w:after="40"/>
      </w:pPr>
    </w:p>
    <w:p>
      <w:pPr>
        <w:pBdr>
          <w:top w:val="single" w:sz="12" w:color="F0D080"/>
        </w:pBdr>
        <w:spacing w:before="200" w:after="1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0D080"/>
                <w:sz w:val="24"/>
              </w:rPr>
              <w:t xml:space="preserve">[A] </w:t>
            </w:r>
            <w:r>
              <w:rPr>
                <w:rFonts w:ascii="Arial" w:hAnsi="Arial"/>
                <w:b/>
                <w:i w:val="0"/>
                <w:color w:val="F0D080"/>
                <w:sz w:val="34"/>
              </w:rPr>
              <w:t xml:space="preserve">SU  </w:t>
            </w:r>
            <w:r>
              <w:rPr>
                <w:rFonts w:ascii="Arial" w:hAnsi="Arial"/>
                <w:b w:val="0"/>
                <w:i w:val="0"/>
                <w:color w:val="AABBCC"/>
                <w:sz w:val="19"/>
              </w:rPr>
              <w:t>Schneider Electric</w:t>
            </w:r>
          </w:p>
          <w:p>
            <w:r>
              <w:rPr>
                <w:rFonts w:ascii="Arial" w:hAnsi="Arial"/>
                <w:b w:val="0"/>
                <w:i w:val="0"/>
                <w:color w:val="AABBCC"/>
                <w:sz w:val="16"/>
              </w:rPr>
              <w:t>Énergie &amp; Automatisation  ·  7 titre(s)  ·  PRU 240.72€  ·  Score QARP 90/100</w:t>
            </w:r>
          </w:p>
        </w:tc>
        <w:tc>
          <w:tcPr>
            <w:tcW w:type="dxa" w:w="5100"/>
            <w:shd w:val="clear" w:color="auto" w:fill="1A3A5C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0D080"/>
                <w:sz w:val="36"/>
              </w:rPr>
              <w:t xml:space="preserve">+13.2%  </w:t>
            </w:r>
          </w:p>
          <w:p>
            <w:pPr>
              <w:jc w:val="right"/>
            </w:pPr>
            <w:r>
              <w:rPr>
                <w:rFonts w:ascii="Arial" w:hAnsi="Arial"/>
                <w:b w:val="0"/>
                <w:i w:val="0"/>
                <w:color w:val="AABBCC"/>
                <w:sz w:val="18"/>
              </w:rPr>
              <w:t>+223€  |  val. 1908€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Indicateur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Valeur</w:t>
            </w:r>
          </w:p>
        </w:tc>
      </w:tr>
      <w:tr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/>
                <w:i w:val="0"/>
                <w:color w:val="0F2540"/>
                <w:sz w:val="18"/>
              </w:rPr>
              <w:t>Cours actuel</w:t>
            </w:r>
          </w:p>
        </w:tc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272.6€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Zone achat [el–eh]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235.0€ – 278.0€  ✅ cours en zone</w:t>
            </w:r>
          </w:p>
        </w:tc>
      </w:tr>
      <w:tr>
        <w:tc>
          <w:tcPr>
            <w:tcW w:type="dxa" w:w="5100"/>
            <w:shd w:val="clear" w:color="auto" w:fill="FEE2E2"/>
          </w:tcPr>
          <w:p>
            <w:r>
              <w:rPr>
                <w:rFonts w:ascii="Arial" w:hAnsi="Arial"/>
                <w:b/>
                <w:i w:val="0"/>
                <w:color w:val="DC2626"/>
                <w:sz w:val="18"/>
              </w:rPr>
              <w:t>Stop Loss</w:t>
            </w:r>
          </w:p>
        </w:tc>
        <w:tc>
          <w:tcPr>
            <w:tcW w:type="dxa" w:w="5100"/>
            <w:shd w:val="clear" w:color="auto" w:fill="FEE2E2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210.0€  (23.0% de marge)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Objectif 1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305.0€  (+11.9%)</w:t>
            </w:r>
          </w:p>
        </w:tc>
      </w:tr>
      <w:tr>
        <w:tc>
          <w:tcPr>
            <w:tcW w:type="dxa" w:w="510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1D4ED8"/>
                <w:sz w:val="18"/>
              </w:rPr>
              <w:t>DCF Médian</w:t>
            </w:r>
          </w:p>
        </w:tc>
        <w:tc>
          <w:tcPr>
            <w:tcW w:type="dxa" w:w="5100"/>
            <w:shd w:val="clear" w:color="auto" w:fill="EFF6FF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315.0€  (upside 15.6%)</w:t>
            </w:r>
          </w:p>
        </w:tc>
      </w:tr>
      <w:tr>
        <w:tc>
          <w:tcPr>
            <w:tcW w:type="dxa" w:w="5100"/>
            <w:shd w:val="clear" w:color="auto" w:fill="FFFBEB"/>
          </w:tcPr>
          <w:p>
            <w:r>
              <w:rPr>
                <w:rFonts w:ascii="Arial" w:hAnsi="Arial"/>
                <w:b/>
                <w:i w:val="0"/>
                <w:color w:val="D97706"/>
                <w:sz w:val="18"/>
              </w:rPr>
              <w:t>R/R</w:t>
            </w:r>
          </w:p>
        </w:tc>
        <w:tc>
          <w:tcPr>
            <w:tcW w:type="dxa" w:w="5100"/>
            <w:shd w:val="clear" w:color="auto" w:fill="FFFBEB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0.5x  ⚠️ insuffisant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Ratio</w:t>
            </w:r>
          </w:p>
        </w:tc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Valeur</w:t>
            </w:r>
          </w:p>
        </w:tc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Ratio</w:t>
            </w:r>
          </w:p>
        </w:tc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Valeur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ROE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26.0%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Marge nette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15.0%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FCF yield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7.5%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Dette/EBITDA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1.0x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Piotroski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/>
                <w:i w:val="0"/>
                <w:color w:val="16A34A"/>
                <w:sz w:val="17"/>
              </w:rPr>
              <w:t>8/9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PE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28.0x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MM200</w:t>
            </w:r>
          </w:p>
        </w:tc>
        <w:tc>
          <w:tcPr>
            <w:tcW w:type="dxa" w:w="255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16A34A"/>
                <w:sz w:val="17"/>
              </w:rPr>
              <w:t>✅ au-dessus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RSI</w:t>
            </w:r>
          </w:p>
        </w:tc>
        <w:tc>
          <w:tcPr>
            <w:tcW w:type="dxa" w:w="255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16A34A"/>
                <w:sz w:val="17"/>
              </w:rPr>
              <w:t>58.0 ✅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Triptyque : 3/3 feux verts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Lecture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RSI 58.0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✅ Zone valeur (25-60)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MM200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✅ Cours &gt; MM200 (245.0€)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Zone DCF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✅ En zone d'achat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16A34A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✅ Thèse haussière</w:t>
            </w:r>
          </w:p>
        </w:tc>
        <w:tc>
          <w:tcPr>
            <w:tcW w:type="dxa" w:w="5100"/>
            <w:shd w:val="clear" w:color="auto" w:fill="DC2626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❌ Risques principaux</w:t>
            </w:r>
          </w:p>
        </w:tc>
      </w:tr>
      <w:tr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 w:val="0"/>
                <w:i w:val="0"/>
                <w:color w:val="1A4730"/>
                <w:sz w:val="17"/>
              </w:rPr>
              <w:t>Schneider est au centre de trois mégatendances : électrification, digitalisation, data centers IA. La demande data centers double tous les 4 ans.</w:t>
            </w:r>
          </w:p>
        </w:tc>
        <w:tc>
          <w:tcPr>
            <w:tcW w:type="dxa" w:w="5100"/>
            <w:shd w:val="clear" w:color="auto" w:fill="FFF5F5"/>
          </w:tcPr>
          <w:p>
            <w:r>
              <w:rPr>
                <w:rFonts w:ascii="Arial" w:hAnsi="Arial"/>
                <w:b w:val="0"/>
                <w:i w:val="0"/>
                <w:color w:val="7C2C2C"/>
                <w:sz w:val="17"/>
              </w:rPr>
              <w:t>Valorisation premium. Forte exposition USD. Concurrence ABB et Siemens sur les segments IA.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Track record direction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Résultat</w:t>
            </w:r>
          </w:p>
        </w:tc>
      </w:tr>
      <w:tr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✓ 2025</w:t>
            </w:r>
          </w:p>
        </w:tc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Croissance organique +12%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8FAFC"/>
            <w:tcBorders>
              <w:top w:val="single" w:sz="4" w:color="6B7280"/>
              <w:bottom w:val="single" w:sz="4" w:color="6B7280"/>
              <w:left w:val="single" w:sz="20" w:color="6B7280"/>
              <w:right w:val="single" w:sz="4" w:color="6B7280"/>
            </w:tcBorders>
          </w:tcPr>
          <w:p>
            <w:pPr>
              <w:spacing w:before="120" w:after="40"/>
            </w:pPr>
            <w:r>
              <w:rPr>
                <w:rFonts w:ascii="Arial" w:hAnsi="Arial"/>
                <w:b/>
                <w:i w:val="0"/>
                <w:color w:val="6B7280"/>
                <w:sz w:val="22"/>
              </w:rPr>
              <w:t xml:space="preserve">⚪ SURVEILLER  </w:t>
            </w:r>
          </w:p>
          <w:p>
            <w:pPr>
              <w:spacing w:before="40" w:after="120"/>
            </w:pPr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Position en PV de 13.2%. Surveiller chaque vendredi. Agir si zone atteinte avec R/R ≥ 2x.</w:t>
            </w:r>
          </w:p>
        </w:tc>
      </w:tr>
    </w:tbl>
    <w:p>
      <w:pPr>
        <w:spacing w:after="40"/>
      </w:pPr>
    </w:p>
    <w:p>
      <w:pPr>
        <w:pBdr>
          <w:top w:val="single" w:sz="12" w:color="F0D080"/>
        </w:pBdr>
        <w:spacing w:before="200" w:after="1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0D080"/>
                <w:sz w:val="24"/>
              </w:rPr>
              <w:t xml:space="preserve">[A] </w:t>
            </w:r>
            <w:r>
              <w:rPr>
                <w:rFonts w:ascii="Arial" w:hAnsi="Arial"/>
                <w:b/>
                <w:i w:val="0"/>
                <w:color w:val="F0D080"/>
                <w:sz w:val="34"/>
              </w:rPr>
              <w:t xml:space="preserve">HO  </w:t>
            </w:r>
            <w:r>
              <w:rPr>
                <w:rFonts w:ascii="Arial" w:hAnsi="Arial"/>
                <w:b w:val="0"/>
                <w:i w:val="0"/>
                <w:color w:val="AABBCC"/>
                <w:sz w:val="19"/>
              </w:rPr>
              <w:t>Thales</w:t>
            </w:r>
          </w:p>
          <w:p>
            <w:r>
              <w:rPr>
                <w:rFonts w:ascii="Arial" w:hAnsi="Arial"/>
                <w:b w:val="0"/>
                <w:i w:val="0"/>
                <w:color w:val="AABBCC"/>
                <w:sz w:val="16"/>
              </w:rPr>
              <w:t>Défense &amp; Technologie  ·  3 titre(s)  ·  PRU 237.08€  ·  Score QARP 90/100</w:t>
            </w:r>
          </w:p>
        </w:tc>
        <w:tc>
          <w:tcPr>
            <w:tcW w:type="dxa" w:w="5100"/>
            <w:shd w:val="clear" w:color="auto" w:fill="3D1515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8888"/>
                <w:sz w:val="36"/>
              </w:rPr>
              <w:t xml:space="preserve">-3.9%  </w:t>
            </w:r>
          </w:p>
          <w:p>
            <w:pPr>
              <w:jc w:val="right"/>
            </w:pPr>
            <w:r>
              <w:rPr>
                <w:rFonts w:ascii="Arial" w:hAnsi="Arial"/>
                <w:b w:val="0"/>
                <w:i w:val="0"/>
                <w:color w:val="AABBCC"/>
                <w:sz w:val="18"/>
              </w:rPr>
              <w:t>-28€  |  val. 684€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Indicateur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Valeur</w:t>
            </w:r>
          </w:p>
        </w:tc>
      </w:tr>
      <w:tr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/>
                <w:i w:val="0"/>
                <w:color w:val="0F2540"/>
                <w:sz w:val="18"/>
              </w:rPr>
              <w:t>Cours actuel</w:t>
            </w:r>
          </w:p>
        </w:tc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227.9€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Zone achat [el–eh]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228.0€ – 268.0€  ✅ cours en zone</w:t>
            </w:r>
          </w:p>
        </w:tc>
      </w:tr>
      <w:tr>
        <w:tc>
          <w:tcPr>
            <w:tcW w:type="dxa" w:w="5100"/>
            <w:shd w:val="clear" w:color="auto" w:fill="FEE2E2"/>
          </w:tcPr>
          <w:p>
            <w:r>
              <w:rPr>
                <w:rFonts w:ascii="Arial" w:hAnsi="Arial"/>
                <w:b/>
                <w:i w:val="0"/>
                <w:color w:val="DC2626"/>
                <w:sz w:val="18"/>
              </w:rPr>
              <w:t>Stop Loss</w:t>
            </w:r>
          </w:p>
        </w:tc>
        <w:tc>
          <w:tcPr>
            <w:tcW w:type="dxa" w:w="5100"/>
            <w:shd w:val="clear" w:color="auto" w:fill="FEE2E2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205.0€  (10.0% de marge)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Objectif 1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295.0€  (+29.4%)</w:t>
            </w:r>
          </w:p>
        </w:tc>
      </w:tr>
      <w:tr>
        <w:tc>
          <w:tcPr>
            <w:tcW w:type="dxa" w:w="510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1D4ED8"/>
                <w:sz w:val="18"/>
              </w:rPr>
              <w:t>DCF Médian</w:t>
            </w:r>
          </w:p>
        </w:tc>
        <w:tc>
          <w:tcPr>
            <w:tcW w:type="dxa" w:w="5100"/>
            <w:shd w:val="clear" w:color="auto" w:fill="EFF6FF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305.0€  (upside 33.8%)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R/R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2.9x  ✅ favorable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Ratio</w:t>
            </w:r>
          </w:p>
        </w:tc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Valeur</w:t>
            </w:r>
          </w:p>
        </w:tc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Ratio</w:t>
            </w:r>
          </w:p>
        </w:tc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Valeur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ROE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22.0%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Marge nette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11.0%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FCF yield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8.2%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Dette/EBITDA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1.2x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Piotroski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/>
                <w:i w:val="0"/>
                <w:color w:val="16A34A"/>
                <w:sz w:val="17"/>
              </w:rPr>
              <w:t>8/9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PE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22.0x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MM200</w:t>
            </w:r>
          </w:p>
        </w:tc>
        <w:tc>
          <w:tcPr>
            <w:tcW w:type="dxa" w:w="2550"/>
            <w:shd w:val="clear" w:color="auto" w:fill="FEE2E2"/>
          </w:tcPr>
          <w:p>
            <w:r>
              <w:rPr>
                <w:rFonts w:ascii="Arial" w:hAnsi="Arial"/>
                <w:b w:val="0"/>
                <w:i w:val="0"/>
                <w:color w:val="DC2626"/>
                <w:sz w:val="17"/>
              </w:rPr>
              <w:t>⚠️ en dessous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RSI</w:t>
            </w:r>
          </w:p>
        </w:tc>
        <w:tc>
          <w:tcPr>
            <w:tcW w:type="dxa" w:w="255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16A34A"/>
                <w:sz w:val="17"/>
              </w:rPr>
              <w:t>58.0 ✅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Triptyque : 2/3 feux verts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Lecture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RSI 58.0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✅ Zone valeur (25-60)</w:t>
            </w:r>
          </w:p>
        </w:tc>
      </w:tr>
      <w:tr>
        <w:tc>
          <w:tcPr>
            <w:tcW w:type="dxa" w:w="5100"/>
            <w:shd w:val="clear" w:color="auto" w:fill="FFFBEB"/>
          </w:tcPr>
          <w:p>
            <w:r>
              <w:rPr>
                <w:rFonts w:ascii="Arial" w:hAnsi="Arial"/>
                <w:b/>
                <w:i w:val="0"/>
                <w:color w:val="D97706"/>
                <w:sz w:val="18"/>
              </w:rPr>
              <w:t>MM200</w:t>
            </w:r>
          </w:p>
        </w:tc>
        <w:tc>
          <w:tcPr>
            <w:tcW w:type="dxa" w:w="5100"/>
            <w:shd w:val="clear" w:color="auto" w:fill="FFFBEB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⚠️ Cours &lt; MM200 (238.0€)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Zone DCF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✅ En zone d'achat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16A34A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✅ Thèse haussière</w:t>
            </w:r>
          </w:p>
        </w:tc>
        <w:tc>
          <w:tcPr>
            <w:tcW w:type="dxa" w:w="5100"/>
            <w:shd w:val="clear" w:color="auto" w:fill="DC2626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❌ Risques principaux</w:t>
            </w:r>
          </w:p>
        </w:tc>
      </w:tr>
      <w:tr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 w:val="0"/>
                <w:i w:val="0"/>
                <w:color w:val="1A4730"/>
                <w:sz w:val="17"/>
              </w:rPr>
              <w:t>Thales est le bénéficiaire direct du réarmement européen post-Ukraine. Cybersécurité + défense = deux mégatendances simultanées. Carnet de commandes record.</w:t>
            </w:r>
          </w:p>
        </w:tc>
        <w:tc>
          <w:tcPr>
            <w:tcW w:type="dxa" w:w="5100"/>
            <w:shd w:val="clear" w:color="auto" w:fill="FFF5F5"/>
          </w:tcPr>
          <w:p>
            <w:r>
              <w:rPr>
                <w:rFonts w:ascii="Arial" w:hAnsi="Arial"/>
                <w:b w:val="0"/>
                <w:i w:val="0"/>
                <w:color w:val="7C2C2C"/>
                <w:sz w:val="17"/>
              </w:rPr>
              <w:t>Exposition exportations gouvernementales. Valorisation déjà bien pricée à 22x PE.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Track record direction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Résultat</w:t>
            </w:r>
          </w:p>
        </w:tc>
      </w:tr>
      <w:tr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✓ 2025</w:t>
            </w:r>
          </w:p>
        </w:tc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Carnet commandes +18%</w:t>
            </w:r>
          </w:p>
        </w:tc>
      </w:tr>
      <w:tr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✓ 2024</w:t>
            </w:r>
          </w:p>
        </w:tc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Défense +25%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DCFCE7"/>
            <w:tcBorders>
              <w:top w:val="single" w:sz="4" w:color="16A34A"/>
              <w:bottom w:val="single" w:sz="4" w:color="16A34A"/>
              <w:left w:val="single" w:sz="20" w:color="16A34A"/>
              <w:right w:val="single" w:sz="4" w:color="16A34A"/>
            </w:tcBorders>
          </w:tcPr>
          <w:p>
            <w:pPr>
              <w:spacing w:before="120" w:after="40"/>
            </w:pPr>
            <w:r>
              <w:rPr>
                <w:rFonts w:ascii="Arial" w:hAnsi="Arial"/>
                <w:b/>
                <w:i w:val="0"/>
                <w:color w:val="16A34A"/>
                <w:sz w:val="22"/>
              </w:rPr>
              <w:t xml:space="preserve">✅ ZONE ACTIVE — R/R favorable  </w:t>
            </w:r>
          </w:p>
          <w:p>
            <w:pPr>
              <w:spacing w:before="40" w:after="120"/>
            </w:pPr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Cours en zone, R/R 2.9x ≥ 2x. Score 90/100. Conditions réunies pour un renforcement ciblé (max +3% du PEA). Stop à 205.0€ à définir avant passage d'ordre.</w:t>
            </w:r>
          </w:p>
        </w:tc>
      </w:tr>
    </w:tbl>
    <w:p>
      <w:pPr>
        <w:spacing w:after="40"/>
      </w:pPr>
    </w:p>
    <w:p>
      <w:pPr>
        <w:pBdr>
          <w:top w:val="single" w:sz="12" w:color="F0D080"/>
        </w:pBdr>
        <w:spacing w:before="200" w:after="1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0D080"/>
                <w:sz w:val="24"/>
              </w:rPr>
              <w:t xml:space="preserve">[B] </w:t>
            </w:r>
            <w:r>
              <w:rPr>
                <w:rFonts w:ascii="Arial" w:hAnsi="Arial"/>
                <w:b/>
                <w:i w:val="0"/>
                <w:color w:val="F0D080"/>
                <w:sz w:val="34"/>
              </w:rPr>
              <w:t xml:space="preserve">TTE  </w:t>
            </w:r>
            <w:r>
              <w:rPr>
                <w:rFonts w:ascii="Arial" w:hAnsi="Arial"/>
                <w:b w:val="0"/>
                <w:i w:val="0"/>
                <w:color w:val="AABBCC"/>
                <w:sz w:val="19"/>
              </w:rPr>
              <w:t>TotalEnergies</w:t>
            </w:r>
          </w:p>
          <w:p>
            <w:r>
              <w:rPr>
                <w:rFonts w:ascii="Arial" w:hAnsi="Arial"/>
                <w:b w:val="0"/>
                <w:i w:val="0"/>
                <w:color w:val="AABBCC"/>
                <w:sz w:val="16"/>
              </w:rPr>
              <w:t>Énergie  ·  20 titre(s)  ·  PRU 50.52€  ·  Score QARP 80/100</w:t>
            </w:r>
          </w:p>
        </w:tc>
        <w:tc>
          <w:tcPr>
            <w:tcW w:type="dxa" w:w="5100"/>
            <w:shd w:val="clear" w:color="auto" w:fill="1A3A5C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0D080"/>
                <w:sz w:val="36"/>
              </w:rPr>
              <w:t xml:space="preserve">+50.0%  </w:t>
            </w:r>
          </w:p>
          <w:p>
            <w:pPr>
              <w:jc w:val="right"/>
            </w:pPr>
            <w:r>
              <w:rPr>
                <w:rFonts w:ascii="Arial" w:hAnsi="Arial"/>
                <w:b w:val="0"/>
                <w:i w:val="0"/>
                <w:color w:val="AABBCC"/>
                <w:sz w:val="18"/>
              </w:rPr>
              <w:t>+506€  |  val. 1516€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Indicateur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Valeur</w:t>
            </w:r>
          </w:p>
        </w:tc>
      </w:tr>
      <w:tr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/>
                <w:i w:val="0"/>
                <w:color w:val="0F2540"/>
                <w:sz w:val="18"/>
              </w:rPr>
              <w:t>Cours actuel</w:t>
            </w:r>
          </w:p>
        </w:tc>
        <w:tc>
          <w:tcPr>
            <w:tcW w:type="dxa" w:w="5100"/>
            <w:shd w:val="clear" w:color="auto" w:fill="F8FAFC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75.8€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Zone achat [el–eh]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71.1€ – 85.3€  ✅ cours en zone</w:t>
            </w:r>
          </w:p>
        </w:tc>
      </w:tr>
      <w:tr>
        <w:tc>
          <w:tcPr>
            <w:tcW w:type="dxa" w:w="5100"/>
            <w:shd w:val="clear" w:color="auto" w:fill="FEE2E2"/>
          </w:tcPr>
          <w:p>
            <w:r>
              <w:rPr>
                <w:rFonts w:ascii="Arial" w:hAnsi="Arial"/>
                <w:b/>
                <w:i w:val="0"/>
                <w:color w:val="DC2626"/>
                <w:sz w:val="18"/>
              </w:rPr>
              <w:t>Stop Loss</w:t>
            </w:r>
          </w:p>
        </w:tc>
        <w:tc>
          <w:tcPr>
            <w:tcW w:type="dxa" w:w="5100"/>
            <w:shd w:val="clear" w:color="auto" w:fill="FEE2E2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62.5€  (17.5% de marge)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Objectif 1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96.6€  (+27.4%)</w:t>
            </w:r>
          </w:p>
        </w:tc>
      </w:tr>
      <w:tr>
        <w:tc>
          <w:tcPr>
            <w:tcW w:type="dxa" w:w="510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1D4ED8"/>
                <w:sz w:val="18"/>
              </w:rPr>
              <w:t>DCF Médian</w:t>
            </w:r>
          </w:p>
        </w:tc>
        <w:tc>
          <w:tcPr>
            <w:tcW w:type="dxa" w:w="5100"/>
            <w:shd w:val="clear" w:color="auto" w:fill="EFF6FF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99.5€  (upside 31.3%)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R/R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1.6x  ✅ favorable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Ratio</w:t>
            </w:r>
          </w:p>
        </w:tc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Valeur</w:t>
            </w:r>
          </w:p>
        </w:tc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Ratio</w:t>
            </w:r>
          </w:p>
        </w:tc>
        <w:tc>
          <w:tcPr>
            <w:tcW w:type="dxa" w:w="255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Valeur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ROE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14.0%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Marge nette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8.0%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FCF yield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9.8%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Dette/EBITDA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1.2x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Piotroski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/>
                <w:i w:val="0"/>
                <w:color w:val="16A34A"/>
                <w:sz w:val="17"/>
              </w:rPr>
              <w:t>7/9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PE</w:t>
            </w:r>
          </w:p>
        </w:tc>
        <w:tc>
          <w:tcPr>
            <w:tcW w:type="dxa" w:w="2550"/>
            <w:shd w:val="clear" w:color="auto" w:fill="FAFAFA"/>
          </w:tcPr>
          <w:p>
            <w:r>
              <w:rPr>
                <w:rFonts w:ascii="Arial" w:hAnsi="Arial"/>
                <w:b w:val="0"/>
                <w:i w:val="0"/>
                <w:color w:val="333333"/>
                <w:sz w:val="17"/>
              </w:rPr>
              <w:t>8.0x</w:t>
            </w:r>
          </w:p>
        </w:tc>
      </w:tr>
      <w:tr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MM200</w:t>
            </w:r>
          </w:p>
        </w:tc>
        <w:tc>
          <w:tcPr>
            <w:tcW w:type="dxa" w:w="255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16A34A"/>
                <w:sz w:val="17"/>
              </w:rPr>
              <w:t>✅ au-dessus</w:t>
            </w:r>
          </w:p>
        </w:tc>
        <w:tc>
          <w:tcPr>
            <w:tcW w:type="dxa" w:w="2550"/>
            <w:shd w:val="clear" w:color="auto" w:fill="EFF6FF"/>
          </w:tcPr>
          <w:p>
            <w:r>
              <w:rPr>
                <w:rFonts w:ascii="Arial" w:hAnsi="Arial"/>
                <w:b/>
                <w:i w:val="0"/>
                <w:color w:val="0F2540"/>
                <w:sz w:val="17"/>
              </w:rPr>
              <w:t>RSI</w:t>
            </w:r>
          </w:p>
        </w:tc>
        <w:tc>
          <w:tcPr>
            <w:tcW w:type="dxa" w:w="255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16A34A"/>
                <w:sz w:val="17"/>
              </w:rPr>
              <w:t>44.0 ✅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Triptyque : 3/3 feux verts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Lecture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RSI 44.0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✅ Zone valeur (25-60)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MM200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✅ Cours &gt; MM200 (58.0€)</w:t>
            </w:r>
          </w:p>
        </w:tc>
      </w:tr>
      <w:tr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Zone DCF</w:t>
            </w:r>
          </w:p>
        </w:tc>
        <w:tc>
          <w:tcPr>
            <w:tcW w:type="dxa" w:w="5100"/>
            <w:shd w:val="clear" w:color="auto" w:fill="DCFCE7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✅ En zone d'achat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16A34A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✅ Thèse haussière</w:t>
            </w:r>
          </w:p>
        </w:tc>
        <w:tc>
          <w:tcPr>
            <w:tcW w:type="dxa" w:w="5100"/>
            <w:shd w:val="clear" w:color="auto" w:fill="DC2626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❌ Risques principaux</w:t>
            </w:r>
          </w:p>
        </w:tc>
      </w:tr>
      <w:tr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 w:val="0"/>
                <w:i w:val="0"/>
                <w:color w:val="1A4730"/>
                <w:sz w:val="17"/>
              </w:rPr>
              <w:t>TotalEnergies à 8x PE et 5.2% de yield avec LNG Canada opérationnel. Rachat d'actions massif soutient le cours.</w:t>
            </w:r>
          </w:p>
        </w:tc>
        <w:tc>
          <w:tcPr>
            <w:tcW w:type="dxa" w:w="5100"/>
            <w:shd w:val="clear" w:color="auto" w:fill="FFF5F5"/>
          </w:tcPr>
          <w:p>
            <w:r>
              <w:rPr>
                <w:rFonts w:ascii="Arial" w:hAnsi="Arial"/>
                <w:b w:val="0"/>
                <w:i w:val="0"/>
                <w:color w:val="7C2C2C"/>
                <w:sz w:val="17"/>
              </w:rPr>
              <w:t>Le pétrole à 60$ détruit la thèse si ça dure. Transition ENR consomme du capital sans retour immédiat.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Track record direction</w:t>
            </w:r>
          </w:p>
        </w:tc>
        <w:tc>
          <w:tcPr>
            <w:tcW w:type="dxa" w:w="5100"/>
            <w:shd w:val="clear" w:color="auto" w:fill="0F2540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Résultat</w:t>
            </w:r>
          </w:p>
        </w:tc>
      </w:tr>
      <w:tr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/>
                <w:i w:val="0"/>
                <w:color w:val="16A34A"/>
                <w:sz w:val="18"/>
              </w:rPr>
              <w:t>✓ 2025</w:t>
            </w:r>
          </w:p>
        </w:tc>
        <w:tc>
          <w:tcPr>
            <w:tcW w:type="dxa" w:w="5100"/>
            <w:shd w:val="clear" w:color="auto" w:fill="F0FDF4"/>
          </w:tcPr>
          <w:p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Dividende maintenu 5.2%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FFBEB"/>
            <w:tcBorders>
              <w:top w:val="single" w:sz="4" w:color="D97706"/>
              <w:bottom w:val="single" w:sz="4" w:color="D97706"/>
              <w:left w:val="single" w:sz="20" w:color="D97706"/>
              <w:right w:val="single" w:sz="4" w:color="D97706"/>
            </w:tcBorders>
          </w:tcPr>
          <w:p>
            <w:pPr>
              <w:spacing w:before="120" w:after="40"/>
            </w:pPr>
            <w:r>
              <w:rPr>
                <w:rFonts w:ascii="Arial" w:hAnsi="Arial"/>
                <w:b/>
                <w:i w:val="0"/>
                <w:color w:val="D97706"/>
                <w:sz w:val="22"/>
              </w:rPr>
              <w:t xml:space="preserve">🟡 ZONE ACTIVE — R/R &lt; 2x  </w:t>
            </w:r>
          </w:p>
          <w:p>
            <w:pPr>
              <w:spacing w:before="40" w:after="120"/>
            </w:pPr>
            <w:r>
              <w:rPr>
                <w:rFonts w:ascii="Arial" w:hAnsi="Arial"/>
                <w:b w:val="0"/>
                <w:i w:val="0"/>
                <w:color w:val="333333"/>
                <w:sz w:val="18"/>
              </w:rPr>
              <w:t>Cours en zone mais R/R 1.6x &lt; 2x. Garder la position, attendre retour vers 71.1€ pour R/R ≥ 2x. Ne pas renforcer ici.</w:t>
            </w:r>
          </w:p>
        </w:tc>
      </w:tr>
    </w:tbl>
    <w:p>
      <w:pPr>
        <w:spacing w:after="40"/>
      </w:pPr>
    </w:p>
    <w:p/>
    <w:p>
      <w:pPr>
        <w:jc w:val="center"/>
      </w:pPr>
      <w:r>
        <w:rPr>
          <w:i/>
          <w:color w:val="999999"/>
          <w:sz w:val="16"/>
        </w:rPr>
        <w:t>VAL.PEA · Revue de portefeuille · 08 mai 2026 · Cours de clôture · Non-conseil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