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649"/>
        <w:jc w:val="center"/>
        <w:tblLayout w:type="fixed"/>
        <w:tblLook w:firstColumn="1" w:firstRow="1" w:lastColumn="0" w:lastRow="0" w:noHBand="0" w:noVBand="1" w:val="04A0"/>
      </w:tblPr>
      <w:tblGrid>
        <w:gridCol w:w="12359"/>
        <w:gridCol w:w="3288"/>
      </w:tblGrid>
      <w:tr>
        <w:tc>
          <w:tcPr>
            <w:tcW w:type="dxa" w:w="12360"/>
            <w:shd w:fill="102A46" w:val="clear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start w:w="130" w:type="dxa"/>
              <w:bottom w:w="7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3EC6AC"/>
                <w:sz w:val="17"/>
              </w:rPr>
              <w:t>FRIOPACKING SAC</w:t>
            </w:r>
            <w:r>
              <w:rPr>
                <w:rFonts w:ascii="Arial" w:hAnsi="Arial"/>
                <w:b/>
                <w:i w:val="0"/>
                <w:color w:val="FFFFFF"/>
                <w:sz w:val="36"/>
              </w:rPr>
              <w:br/>
              <w:t>PLAN DE ACCIÓN JULIO - AGOSTO 2026</w:t>
            </w:r>
            <w:r>
              <w:rPr>
                <w:rFonts w:ascii="Arial" w:hAnsi="Arial"/>
                <w:b w:val="0"/>
                <w:i w:val="0"/>
                <w:color w:val="D9E7F2"/>
                <w:sz w:val="18"/>
              </w:rPr>
              <w:br/>
              <w:t>Mejoramiento continuo e incremento de ventas</w:t>
            </w:r>
          </w:p>
        </w:tc>
        <w:tc>
          <w:tcPr>
            <w:tcW w:type="dxa" w:w="3288"/>
            <w:shd w:fill="102A46" w:val="clear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3EC6AC"/>
                <w:sz w:val="16"/>
              </w:rPr>
              <w:t>VERSIÓN EJECUTIVA</w:t>
              <w:br/>
            </w:r>
            <w:r>
              <w:rPr>
                <w:rFonts w:ascii="Arial" w:hAnsi="Arial"/>
                <w:b/>
                <w:i w:val="0"/>
                <w:color w:val="FFFFFF"/>
                <w:sz w:val="30"/>
              </w:rPr>
              <w:t>1 HOJA</w:t>
            </w:r>
            <w:r>
              <w:rPr>
                <w:rFonts w:ascii="Arial" w:hAnsi="Arial"/>
                <w:b w:val="0"/>
                <w:i w:val="0"/>
                <w:color w:val="D9E7F2"/>
                <w:sz w:val="16"/>
              </w:rPr>
              <w:br/>
              <w:t>Corte: 31-ago-2026</w:t>
            </w:r>
          </w:p>
        </w:tc>
      </w:tr>
    </w:tbl>
    <w:p>
      <w:pPr>
        <w:spacing w:before="0" w:after="40" w:line="48" w:lineRule="auto"/>
      </w:pPr>
    </w:p>
    <w:tbl>
      <w:tblPr>
        <w:tblW w:type="dxa" w:w="15592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5024"/>
      </w:tblGrid>
      <w:tr>
        <w:tc>
          <w:tcPr>
            <w:tcW w:type="dxa" w:w="567"/>
            <w:shd w:fill="0F6E56" w:val="clear"/>
            <w:tcBorders>
              <w:top w:val="single" w:sz="8" w:color="3EC6AC"/>
              <w:left w:val="single" w:sz="8" w:color="3EC6AC"/>
              <w:bottom w:val="single" w:sz="8" w:color="3EC6AC"/>
              <w:right w:val="single" w:sz="8" w:color="3EC6AC"/>
            </w:tcBorders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01</w:t>
            </w:r>
          </w:p>
        </w:tc>
        <w:tc>
          <w:tcPr>
            <w:tcW w:type="dxa" w:w="15025"/>
            <w:shd w:fill="EAF8F5" w:val="clear"/>
            <w:tcBorders>
              <w:top w:val="single" w:sz="8" w:color="3EC6AC"/>
              <w:left w:val="single" w:sz="8" w:color="3EC6AC"/>
              <w:bottom w:val="single" w:sz="8" w:color="3EC6AC"/>
              <w:right w:val="single" w:sz="8" w:color="3EC6AC"/>
            </w:tcBorders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02A46"/>
                <w:sz w:val="20"/>
              </w:rPr>
              <w:t>OBJETIVOS SMART · MEJORAMIENTO CONTINUO</w:t>
            </w:r>
          </w:p>
        </w:tc>
      </w:tr>
    </w:tbl>
    <w:tbl>
      <w:tblPr>
        <w:tblW w:type="dxa" w:w="15422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8391"/>
        <w:gridCol w:w="2608"/>
        <w:gridCol w:w="2494"/>
        <w:gridCol w:w="1417"/>
      </w:tblGrid>
      <w:tr>
        <w:trPr>
          <w:tblHeader w:val="true"/>
        </w:trPr>
        <w:tc>
          <w:tcPr>
            <w:tcW w:type="dxa" w:w="510"/>
            <w:shd w:fill="173B63" w:val="clear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</w:t>
            </w:r>
          </w:p>
        </w:tc>
        <w:tc>
          <w:tcPr>
            <w:tcW w:type="dxa" w:w="8391"/>
            <w:shd w:fill="173B63" w:val="clear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OBJETIVO SMART</w:t>
            </w:r>
          </w:p>
        </w:tc>
        <w:tc>
          <w:tcPr>
            <w:tcW w:type="dxa" w:w="2608"/>
            <w:shd w:fill="173B63" w:val="clear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INDICADOR / META</w:t>
            </w:r>
          </w:p>
        </w:tc>
        <w:tc>
          <w:tcPr>
            <w:tcW w:type="dxa" w:w="2494"/>
            <w:shd w:fill="173B63" w:val="clear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RESPONSABLE</w:t>
            </w:r>
          </w:p>
        </w:tc>
        <w:tc>
          <w:tcPr>
            <w:tcW w:type="dxa" w:w="1417"/>
            <w:shd w:fill="173B63" w:val="clear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FECHA</w:t>
            </w:r>
          </w:p>
        </w:tc>
      </w:tr>
      <w:tr>
        <w:trPr>
          <w:cantSplit/>
        </w:trPr>
        <w:tc>
          <w:tcPr>
            <w:tcW w:type="dxa" w:w="510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20"/>
              </w:rPr>
              <w:t>1</w:t>
            </w:r>
          </w:p>
        </w:tc>
        <w:tc>
          <w:tcPr>
            <w:tcW w:type="dxa" w:w="8391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/>
                <w:b w:val="0"/>
                <w:i w:val="0"/>
                <w:color w:val="263746"/>
                <w:sz w:val="16"/>
              </w:rPr>
              <w:t>Unificar el flujo de información entre Arquitectura y Presupuestos en una plataforma única, migrando el 100% de los proyectos nuevos ingresados desde el 15-jul-2026.</w:t>
            </w:r>
          </w:p>
        </w:tc>
        <w:tc>
          <w:tcPr>
            <w:tcW w:type="dxa" w:w="2608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/>
                <w:b/>
                <w:i w:val="0"/>
                <w:color w:val="102A46"/>
                <w:sz w:val="15"/>
              </w:rPr>
              <w:t xml:space="preserve">KPI: </w:t>
            </w:r>
            <w:r>
              <w:rPr>
                <w:rFonts w:ascii="Arial" w:hAnsi="Arial"/>
                <w:b w:val="0"/>
                <w:i w:val="0"/>
                <w:color w:val="263746"/>
                <w:sz w:val="15"/>
              </w:rPr>
              <w:t>% de proyectos nuevos en el flujo unificado</w:t>
              <w:br/>
            </w:r>
            <w:r>
              <w:rPr>
                <w:rFonts w:ascii="Arial" w:hAnsi="Arial"/>
                <w:b/>
                <w:i w:val="0"/>
                <w:color w:val="0F6E56"/>
                <w:sz w:val="15"/>
              </w:rPr>
              <w:t>META: 100%</w:t>
            </w:r>
          </w:p>
        </w:tc>
        <w:tc>
          <w:tcPr>
            <w:tcW w:type="dxa" w:w="2494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/>
                <w:i w:val="0"/>
                <w:color w:val="102A46"/>
                <w:sz w:val="16"/>
              </w:rPr>
              <w:t>Jesús Chávez</w:t>
              <w:br/>
              <w:t>Valeria Rodríguez</w:t>
            </w:r>
          </w:p>
        </w:tc>
        <w:tc>
          <w:tcPr>
            <w:tcW w:type="dxa" w:w="1417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02A46"/>
                <w:sz w:val="15"/>
              </w:rPr>
              <w:t>31-ago-2026</w:t>
            </w:r>
          </w:p>
        </w:tc>
      </w:tr>
      <w:tr>
        <w:trPr>
          <w:cantSplit/>
        </w:trPr>
        <w:tc>
          <w:tcPr>
            <w:tcW w:type="dxa" w:w="510"/>
            <w:shd w:fill="F2F6FA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20"/>
              </w:rPr>
              <w:t>2</w:t>
            </w:r>
          </w:p>
        </w:tc>
        <w:tc>
          <w:tcPr>
            <w:tcW w:type="dxa" w:w="8391"/>
            <w:shd w:fill="F2F6FA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/>
                <w:b w:val="0"/>
                <w:i w:val="0"/>
                <w:color w:val="263746"/>
                <w:sz w:val="16"/>
              </w:rPr>
              <w:t>Estandarizar la estructura de presupuestos —partidas, códigos y plantilla base— y aplicarla al 100% de las cotizaciones emitidas desde el 01-ago-2026.</w:t>
            </w:r>
          </w:p>
        </w:tc>
        <w:tc>
          <w:tcPr>
            <w:tcW w:type="dxa" w:w="2608"/>
            <w:shd w:fill="F2F6FA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/>
                <w:b/>
                <w:i w:val="0"/>
                <w:color w:val="102A46"/>
                <w:sz w:val="15"/>
              </w:rPr>
              <w:t xml:space="preserve">KPI: </w:t>
            </w:r>
            <w:r>
              <w:rPr>
                <w:rFonts w:ascii="Arial" w:hAnsi="Arial"/>
                <w:b w:val="0"/>
                <w:i w:val="0"/>
                <w:color w:val="263746"/>
                <w:sz w:val="15"/>
              </w:rPr>
              <w:t>% de cotizaciones con plantilla estandarizada</w:t>
              <w:br/>
            </w:r>
            <w:r>
              <w:rPr>
                <w:rFonts w:ascii="Arial" w:hAnsi="Arial"/>
                <w:b/>
                <w:i w:val="0"/>
                <w:color w:val="0F6E56"/>
                <w:sz w:val="15"/>
              </w:rPr>
              <w:t>META: 100%</w:t>
            </w:r>
          </w:p>
        </w:tc>
        <w:tc>
          <w:tcPr>
            <w:tcW w:type="dxa" w:w="2494"/>
            <w:shd w:fill="F2F6FA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/>
                <w:i w:val="0"/>
                <w:color w:val="102A46"/>
                <w:sz w:val="16"/>
              </w:rPr>
              <w:t>Jesús Chávez</w:t>
            </w:r>
          </w:p>
        </w:tc>
        <w:tc>
          <w:tcPr>
            <w:tcW w:type="dxa" w:w="1417"/>
            <w:shd w:fill="F2F6FA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02A46"/>
                <w:sz w:val="15"/>
              </w:rPr>
              <w:t>31-ago-2026</w:t>
            </w:r>
          </w:p>
        </w:tc>
      </w:tr>
      <w:tr>
        <w:trPr>
          <w:cantSplit/>
        </w:trPr>
        <w:tc>
          <w:tcPr>
            <w:tcW w:type="dxa" w:w="510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20"/>
              </w:rPr>
              <w:t>3</w:t>
            </w:r>
          </w:p>
        </w:tc>
        <w:tc>
          <w:tcPr>
            <w:tcW w:type="dxa" w:w="8391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/>
                <w:b w:val="0"/>
                <w:i w:val="0"/>
                <w:color w:val="263746"/>
                <w:sz w:val="16"/>
              </w:rPr>
              <w:t>Ejecutar 4 sesiones formales de lecciones aprendidas de Obra para mejorar Presupuestos, con acta y actualización de la biblioteca técnica en cada sesión.</w:t>
            </w:r>
          </w:p>
        </w:tc>
        <w:tc>
          <w:tcPr>
            <w:tcW w:type="dxa" w:w="2608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/>
                <w:b/>
                <w:i w:val="0"/>
                <w:color w:val="102A46"/>
                <w:sz w:val="15"/>
              </w:rPr>
              <w:t xml:space="preserve">KPI: </w:t>
            </w:r>
            <w:r>
              <w:rPr>
                <w:rFonts w:ascii="Arial" w:hAnsi="Arial"/>
                <w:b w:val="0"/>
                <w:i w:val="0"/>
                <w:color w:val="263746"/>
                <w:sz w:val="15"/>
              </w:rPr>
              <w:t>Sesiones ejecutadas / actas publicadas</w:t>
              <w:br/>
            </w:r>
            <w:r>
              <w:rPr>
                <w:rFonts w:ascii="Arial" w:hAnsi="Arial"/>
                <w:b/>
                <w:i w:val="0"/>
                <w:color w:val="0F6E56"/>
                <w:sz w:val="15"/>
              </w:rPr>
              <w:t>META: 4 de 4</w:t>
            </w:r>
          </w:p>
        </w:tc>
        <w:tc>
          <w:tcPr>
            <w:tcW w:type="dxa" w:w="2494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/>
                <w:b/>
                <w:i w:val="0"/>
                <w:color w:val="102A46"/>
                <w:sz w:val="16"/>
              </w:rPr>
              <w:t>Sebastián Flores</w:t>
            </w:r>
          </w:p>
        </w:tc>
        <w:tc>
          <w:tcPr>
            <w:tcW w:type="dxa" w:w="1417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02A46"/>
                <w:sz w:val="15"/>
              </w:rPr>
              <w:t>31-ago-2026</w:t>
            </w:r>
          </w:p>
        </w:tc>
      </w:tr>
    </w:tbl>
    <w:p>
      <w:pPr>
        <w:spacing w:before="0" w:after="40" w:line="48" w:lineRule="auto"/>
      </w:pPr>
    </w:p>
    <w:tbl>
      <w:tblPr>
        <w:tblW w:type="dxa" w:w="15592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5024"/>
      </w:tblGrid>
      <w:tr>
        <w:tc>
          <w:tcPr>
            <w:tcW w:type="dxa" w:w="567"/>
            <w:shd w:fill="0F6E56" w:val="clear"/>
            <w:tcBorders>
              <w:top w:val="single" w:sz="8" w:color="3EC6AC"/>
              <w:left w:val="single" w:sz="8" w:color="3EC6AC"/>
              <w:bottom w:val="single" w:sz="8" w:color="3EC6AC"/>
              <w:right w:val="single" w:sz="8" w:color="3EC6AC"/>
            </w:tcBorders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02</w:t>
            </w:r>
          </w:p>
        </w:tc>
        <w:tc>
          <w:tcPr>
            <w:tcW w:type="dxa" w:w="15025"/>
            <w:shd w:fill="EAF8F5" w:val="clear"/>
            <w:tcBorders>
              <w:top w:val="single" w:sz="8" w:color="3EC6AC"/>
              <w:left w:val="single" w:sz="8" w:color="3EC6AC"/>
              <w:bottom w:val="single" w:sz="8" w:color="3EC6AC"/>
              <w:right w:val="single" w:sz="8" w:color="3EC6AC"/>
            </w:tcBorders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02A46"/>
                <w:sz w:val="20"/>
              </w:rPr>
              <w:t>PLANES DE ACCIÓN COMERCIAL · INCREMENTO DE VENTAS</w:t>
            </w:r>
          </w:p>
        </w:tc>
      </w:tr>
    </w:tbl>
    <w:tbl>
      <w:tblPr>
        <w:tblW w:type="dxa" w:w="15422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948"/>
        <w:gridCol w:w="5896"/>
        <w:gridCol w:w="3628"/>
        <w:gridCol w:w="2438"/>
      </w:tblGrid>
      <w:tr>
        <w:trPr>
          <w:tblHeader w:val="true"/>
        </w:trPr>
        <w:tc>
          <w:tcPr>
            <w:tcW w:type="dxa" w:w="510"/>
            <w:shd w:fill="173B63" w:val="clear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</w:t>
            </w:r>
          </w:p>
        </w:tc>
        <w:tc>
          <w:tcPr>
            <w:tcW w:type="dxa" w:w="2948"/>
            <w:shd w:fill="173B63" w:val="clear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PLAN DE ACCIÓN</w:t>
            </w:r>
          </w:p>
        </w:tc>
        <w:tc>
          <w:tcPr>
            <w:tcW w:type="dxa" w:w="5896"/>
            <w:shd w:fill="173B63" w:val="clear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EJECUCIÓN CLAVE</w:t>
            </w:r>
          </w:p>
        </w:tc>
        <w:tc>
          <w:tcPr>
            <w:tcW w:type="dxa" w:w="3628"/>
            <w:shd w:fill="173B63" w:val="clear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META AL 31-AGO</w:t>
            </w:r>
          </w:p>
        </w:tc>
        <w:tc>
          <w:tcPr>
            <w:tcW w:type="dxa" w:w="2438"/>
            <w:shd w:fill="173B63" w:val="clear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RESPONSABLE</w:t>
            </w:r>
          </w:p>
        </w:tc>
      </w:tr>
      <w:tr>
        <w:trPr>
          <w:cantSplit/>
        </w:trPr>
        <w:tc>
          <w:tcPr>
            <w:tcW w:type="dxa" w:w="510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20"/>
              </w:rPr>
              <w:t>1</w:t>
            </w:r>
          </w:p>
        </w:tc>
        <w:tc>
          <w:tcPr>
            <w:tcW w:type="dxa" w:w="2948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/>
                <w:b/>
                <w:i w:val="0"/>
                <w:color w:val="102A46"/>
                <w:sz w:val="16"/>
              </w:rPr>
              <w:t>Reactivación de clientes desactivados</w:t>
            </w:r>
          </w:p>
        </w:tc>
        <w:tc>
          <w:tcPr>
            <w:tcW w:type="dxa" w:w="5896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26" w:lineRule="auto"/>
              <w:jc w:val="left"/>
            </w:pPr>
            <w:r>
              <w:rPr>
                <w:rFonts w:ascii="Arial" w:hAnsi="Arial"/>
                <w:b w:val="0"/>
                <w:i w:val="0"/>
                <w:color w:val="263746"/>
                <w:sz w:val="15"/>
              </w:rPr>
              <w:t>Depurar y priorizar la cartera sin actividad, revisar el historial de cada cuenta y ejecutar llamadas, correos y reuniones con una propuesta de reactivación. Registrar resultado y siguiente acción.</w:t>
            </w:r>
          </w:p>
        </w:tc>
        <w:tc>
          <w:tcPr>
            <w:tcW w:type="dxa" w:w="3628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26" w:lineRule="auto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5"/>
              </w:rPr>
              <w:t>Lista priorizada al 20-jul y 100% de clientes priorizados recontactados y registrados.</w:t>
            </w:r>
          </w:p>
        </w:tc>
        <w:tc>
          <w:tcPr>
            <w:tcW w:type="dxa" w:w="2438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21" w:lineRule="auto"/>
              <w:jc w:val="center"/>
            </w:pPr>
            <w:r>
              <w:rPr>
                <w:rFonts w:ascii="Arial" w:hAnsi="Arial"/>
                <w:b/>
                <w:i w:val="0"/>
                <w:color w:val="102A46"/>
                <w:sz w:val="15"/>
              </w:rPr>
              <w:t>Equipo comercial</w:t>
              <w:br/>
              <w:t>+ Planner Comercial</w:t>
            </w:r>
          </w:p>
        </w:tc>
      </w:tr>
      <w:tr>
        <w:trPr>
          <w:cantSplit/>
        </w:trPr>
        <w:tc>
          <w:tcPr>
            <w:tcW w:type="dxa" w:w="510"/>
            <w:shd w:fill="F2F6FA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20"/>
              </w:rPr>
              <w:t>2</w:t>
            </w:r>
          </w:p>
        </w:tc>
        <w:tc>
          <w:tcPr>
            <w:tcW w:type="dxa" w:w="2948"/>
            <w:shd w:fill="F2F6FA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/>
                <w:b/>
                <w:i w:val="0"/>
                <w:color w:val="102A46"/>
                <w:sz w:val="16"/>
              </w:rPr>
              <w:t>Prospección y diversificación sectorial</w:t>
            </w:r>
          </w:p>
        </w:tc>
        <w:tc>
          <w:tcPr>
            <w:tcW w:type="dxa" w:w="5896"/>
            <w:shd w:fill="F2F6FA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26" w:lineRule="auto"/>
              <w:jc w:val="left"/>
            </w:pPr>
            <w:r>
              <w:rPr>
                <w:rFonts w:ascii="Arial" w:hAnsi="Arial"/>
                <w:b w:val="0"/>
                <w:i w:val="0"/>
                <w:color w:val="263746"/>
                <w:sz w:val="15"/>
              </w:rPr>
              <w:t>Ejecutar la prospección por zona en operadores logísticos, industria general, pesca, lácteos y cárnicos, utilizando un pitch diferenciado por sector y una ruta semanal de visitas.</w:t>
            </w:r>
          </w:p>
        </w:tc>
        <w:tc>
          <w:tcPr>
            <w:tcW w:type="dxa" w:w="3628"/>
            <w:shd w:fill="F2F6FA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26" w:lineRule="auto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5"/>
              </w:rPr>
              <w:t>26 prospectos calificados · 54 visitas · 13 cotizaciones · US$ 6.50 MM cotizados.</w:t>
            </w:r>
          </w:p>
        </w:tc>
        <w:tc>
          <w:tcPr>
            <w:tcW w:type="dxa" w:w="2438"/>
            <w:shd w:fill="F2F6FA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21" w:lineRule="auto"/>
              <w:jc w:val="center"/>
            </w:pPr>
            <w:r>
              <w:rPr>
                <w:rFonts w:ascii="Arial" w:hAnsi="Arial"/>
                <w:b/>
                <w:i w:val="0"/>
                <w:color w:val="102A46"/>
                <w:sz w:val="15"/>
              </w:rPr>
              <w:t>Hugo Escobar</w:t>
              <w:br/>
              <w:t>Jhon Rojas</w:t>
              <w:br/>
              <w:t>Víctor Ramírez</w:t>
            </w:r>
          </w:p>
        </w:tc>
      </w:tr>
      <w:tr>
        <w:trPr>
          <w:cantSplit/>
        </w:trPr>
        <w:tc>
          <w:tcPr>
            <w:tcW w:type="dxa" w:w="510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20"/>
              </w:rPr>
              <w:t>3</w:t>
            </w:r>
          </w:p>
        </w:tc>
        <w:tc>
          <w:tcPr>
            <w:tcW w:type="dxa" w:w="2948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/>
                <w:b/>
                <w:i w:val="0"/>
                <w:color w:val="102A46"/>
                <w:sz w:val="16"/>
              </w:rPr>
              <w:t>Gestión y seguimiento del funnel comercial</w:t>
            </w:r>
          </w:p>
        </w:tc>
        <w:tc>
          <w:tcPr>
            <w:tcW w:type="dxa" w:w="5896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26" w:lineRule="auto"/>
              <w:jc w:val="left"/>
            </w:pPr>
            <w:r>
              <w:rPr>
                <w:rFonts w:ascii="Arial" w:hAnsi="Arial"/>
                <w:b w:val="0"/>
                <w:i w:val="0"/>
                <w:color w:val="263746"/>
                <w:sz w:val="15"/>
              </w:rPr>
              <w:t>Mantener agenda, visitas, contactos, cotizaciones, probabilidades y próximas acciones actualizadas; emitir el reporte semanal y escalar desviaciones para decisión de la Gerencia Comercial.</w:t>
            </w:r>
          </w:p>
        </w:tc>
        <w:tc>
          <w:tcPr>
            <w:tcW w:type="dxa" w:w="3628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26" w:lineRule="auto"/>
              <w:jc w:val="center"/>
            </w:pPr>
            <w:r>
              <w:rPr>
                <w:rFonts w:ascii="Arial" w:hAnsi="Arial"/>
                <w:b/>
                <w:i w:val="0"/>
                <w:color w:val="0F6E56"/>
                <w:sz w:val="15"/>
              </w:rPr>
              <w:t>100% de oportunidades actualizadas · agenda cada lunes · 7 reportes semanales.</w:t>
            </w:r>
          </w:p>
        </w:tc>
        <w:tc>
          <w:tcPr>
            <w:tcW w:type="dxa" w:w="2438"/>
            <w:shd w:fill="FFFFFF" w:val="clear"/>
            <w:tcBorders>
              <w:top w:val="single" w:sz="5" w:color="CAD7E1"/>
              <w:left w:val="single" w:sz="5" w:color="CAD7E1"/>
              <w:bottom w:val="single" w:sz="5" w:color="CAD7E1"/>
              <w:right w:val="single" w:sz="5" w:color="CAD7E1"/>
            </w:tcBorders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21" w:lineRule="auto"/>
              <w:jc w:val="center"/>
            </w:pPr>
            <w:r>
              <w:rPr>
                <w:rFonts w:ascii="Arial" w:hAnsi="Arial"/>
                <w:b/>
                <w:i w:val="0"/>
                <w:color w:val="102A46"/>
                <w:sz w:val="15"/>
              </w:rPr>
              <w:t>Planner Comercial</w:t>
              <w:br/>
              <w:t>+ Equipo comercial</w:t>
              <w:br/>
              <w:t>Supervisa: Gerencia Comercial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i w:val="0"/>
          <w:color w:val="102A46"/>
          <w:sz w:val="16"/>
        </w:rPr>
        <w:t>EJE COMÚN: reducir reprocesos internos y acelerar la generación de oportunidades mediante reactivación, diversificación y disciplina comercial.</w:t>
      </w:r>
    </w:p>
    <w:sectPr w:rsidR="00FC693F" w:rsidRPr="0006063C" w:rsidSect="00034616">
      <w:footerReference w:type="default" r:id="rId9"/>
      <w:pgSz w:w="16838" w:h="11906" w:orient="landscape"/>
      <w:pgMar w:top="454" w:right="454" w:bottom="369" w:left="454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b w:val="0"/>
        <w:i w:val="0"/>
        <w:color w:val="617385"/>
        <w:sz w:val="14"/>
      </w:rPr>
      <w:t>Dirección Comercial · Friopacking SAC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Acción Julio - Agosto 2026 - Friopacking SAC</dc:title>
  <dc:subject>Objetivos SMART y planes de acción comercial en una hoja</dc:subject>
  <dc:creator>Friopacking SAC</dc:creator>
  <cp:keywords>Friopacking, objetivos SMART, plan de acción, comercial, julio, agosto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